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200400" cy="1076801"/>
            <wp:docPr id="1" name="Picture 1"/>
            <wp:cNvGraphicFramePr>
              <a:graphicFrameLocks noChangeAspect="1"/>
            </wp:cNvGraphicFramePr>
            <a:graphic>
              <a:graphicData uri="http://schemas.openxmlformats.org/drawingml/2006/picture">
                <pic:pic>
                  <pic:nvPicPr>
                    <pic:cNvPr id="0" name="front_page.jpg"/>
                    <pic:cNvPicPr/>
                  </pic:nvPicPr>
                  <pic:blipFill>
                    <a:blip r:embed="rId9"/>
                    <a:stretch>
                      <a:fillRect/>
                    </a:stretch>
                  </pic:blipFill>
                  <pic:spPr>
                    <a:xfrm>
                      <a:off x="0" y="0"/>
                      <a:ext cx="3200400" cy="1076801"/>
                    </a:xfrm>
                    <a:prstGeom prst="rect"/>
                  </pic:spPr>
                </pic:pic>
              </a:graphicData>
            </a:graphic>
          </wp:inline>
        </w:drawing>
      </w:r>
    </w:p>
    <w:p>
      <w:pPr>
        <w:jc w:val="cente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11, 2025 at 12:56 PM</w:t>
      </w:r>
    </w:p>
    <w:p>
      <w:r>
        <w:br w:type="page"/>
      </w:r>
    </w:p>
    <w:p>
      <w:pPr>
        <w:jc w:val="both"/>
      </w:pPr>
      <w:r>
        <w:rPr>
          <w:rFonts w:ascii="Times New Roman" w:hAnsi="Times New Roman"/>
          <w:sz w:val="24"/>
        </w:rPr>
        <w:t>INVESTMENT MEMORANDUM – StoreDot</w:t>
      </w:r>
    </w:p>
    <w:p>
      <w:pPr>
        <w:jc w:val="both"/>
      </w:pPr>
      <w:r>
        <w:rPr>
          <w:rFonts w:ascii="Times New Roman" w:hAnsi="Times New Roman"/>
          <w:sz w:val="24"/>
        </w:rPr>
        <w:t>(Prepared July 11, 2025)</w:t>
      </w:r>
    </w:p>
    <w:p>
      <w:pPr>
        <w:jc w:val="both"/>
      </w:pPr>
      <w:r>
        <w:rPr>
          <w:rFonts w:ascii="Times New Roman" w:hAnsi="Times New Roman"/>
          <w:b/>
          <w:sz w:val="24"/>
        </w:rPr>
        <w:t>1. DETAILED SUMMARY</w:t>
      </w:r>
    </w:p>
    <w:p>
      <w:pPr>
        <w:jc w:val="both"/>
      </w:pPr>
      <w:r>
        <w:rPr>
          <w:rFonts w:ascii="Times New Roman" w:hAnsi="Times New Roman"/>
          <w:sz w:val="24"/>
        </w:rPr>
        <w:t>============================================================</w:t>
      </w:r>
    </w:p>
    <w:p>
      <w:pPr>
        <w:jc w:val="both"/>
      </w:pPr>
      <w:r>
        <w:rPr>
          <w:rFonts w:ascii="Times New Roman" w:hAnsi="Times New Roman"/>
          <w:sz w:val="24"/>
        </w:rPr>
        <w:t>StoreDot, founded by Doron Myersdorf,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jc w:val="both"/>
      </w:pPr>
      <w:r>
        <w:rPr>
          <w:rFonts w:ascii="Times New Roman" w:hAnsi="Times New Roman"/>
          <w:sz w:val="24"/>
        </w:rPr>
        <w:t>2. COMPANY OVERVIEW (including team and website)</w:t>
      </w:r>
    </w:p>
    <w:p>
      <w:pPr>
        <w:jc w:val="both"/>
      </w:pPr>
      <w:r>
        <w:rPr>
          <w:rFonts w:ascii="Times New Roman" w:hAnsi="Times New Roman"/>
          <w:sz w:val="24"/>
        </w:rPr>
        <w:t>Company: StoreDot</w:t>
      </w:r>
    </w:p>
    <w:p>
      <w:pPr>
        <w:jc w:val="both"/>
      </w:pPr>
      <w:r>
        <w:rPr>
          <w:rFonts w:ascii="Times New Roman" w:hAnsi="Times New Roman"/>
          <w:sz w:val="24"/>
        </w:rPr>
        <w:t>Sector: Battery Technology</w:t>
      </w:r>
    </w:p>
    <w:p>
      <w:pPr>
        <w:jc w:val="both"/>
      </w:pPr>
      <w:r>
        <w:rPr>
          <w:rFonts w:ascii="Times New Roman" w:hAnsi="Times New Roman"/>
          <w:sz w:val="24"/>
        </w:rPr>
        <w:t>Website: The official website for the company StoreDot is https://storedot.com</w:t>
      </w:r>
    </w:p>
    <w:p>
      <w:pPr>
        <w:jc w:val="both"/>
      </w:pPr>
      <w:r>
        <w:rPr>
          <w:rFonts w:ascii="Times New Roman" w:hAnsi="Times New Roman"/>
          <w:sz w:val="24"/>
        </w:rPr>
        <w:t>Funding Stage: unknown</w:t>
      </w:r>
    </w:p>
    <w:p>
      <w:pPr>
        <w:jc w:val="both"/>
      </w:pPr>
      <w:r>
        <w:rPr>
          <w:rFonts w:ascii="Times New Roman" w:hAnsi="Times New Roman"/>
          <w:sz w:val="24"/>
        </w:rPr>
        <w:t>Team: Doron Myersdorf</w:t>
      </w:r>
    </w:p>
    <w:p>
      <w:pPr>
        <w:jc w:val="both"/>
      </w:pPr>
      <w:r>
        <w:rPr>
          <w:rFonts w:ascii="Times New Roman" w:hAnsi="Times New Roman"/>
          <w:b/>
          <w:sz w:val="24"/>
        </w:rPr>
        <w:t>3. PROBLEM STATEMENT</w:t>
      </w:r>
    </w:p>
    <w:p>
      <w:pPr>
        <w:jc w:val="both"/>
      </w:pPr>
      <w:r>
        <w:rPr>
          <w:rFonts w:ascii="Times New Roman" w:hAnsi="Times New Roman"/>
          <w:sz w:val="24"/>
        </w:rP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jc w:val="both"/>
      </w:pPr>
      <w:r>
        <w:rPr>
          <w:rFonts w:ascii="Times New Roman" w:hAnsi="Times New Roman"/>
          <w:b/>
          <w:sz w:val="24"/>
        </w:rPr>
        <w:t>4. SOLUTION OVERVIEW</w:t>
      </w:r>
    </w:p>
    <w:p>
      <w:pPr>
        <w:jc w:val="both"/>
      </w:pPr>
      <w:r>
        <w:rPr>
          <w:rFonts w:ascii="Times New Roman" w:hAnsi="Times New Roman"/>
          <w:sz w:val="24"/>
        </w:rP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jc w:val="both"/>
      </w:pPr>
      <w:r>
        <w:rPr>
          <w:rFonts w:ascii="Times New Roman" w:hAnsi="Times New Roman"/>
          <w:b/>
          <w:sz w:val="24"/>
        </w:rPr>
        <w:t>5. MARKET SIZE &amp; ANALYSIS</w:t>
      </w:r>
    </w:p>
    <w:p>
      <w:pPr>
        <w:jc w:val="both"/>
      </w:pPr>
      <w:r>
        <w:rPr>
          <w:rFonts w:ascii="Times New Roman" w:hAnsi="Times New Roman"/>
          <w:sz w:val="24"/>
        </w:rPr>
        <w:t>TAM: $150000.0M (Source: StoreDot April 2023 Corporate Overview)</w:t>
      </w:r>
    </w:p>
    <w:p>
      <w:pPr>
        <w:jc w:val="both"/>
      </w:pPr>
      <w:r>
        <w:rPr>
          <w:rFonts w:ascii="Times New Roman" w:hAnsi="Times New Roman"/>
          <w:sz w:val="24"/>
        </w:rPr>
        <w:t>SAM: $45000.0M (Source: StoreDot April 2023 Corporate Overview)</w:t>
      </w:r>
    </w:p>
    <w:p>
      <w:pPr>
        <w:jc w:val="both"/>
      </w:pPr>
      <w:r>
        <w:rPr>
          <w:rFonts w:ascii="Times New Roman" w:hAnsi="Times New Roman"/>
          <w:sz w:val="24"/>
        </w:rPr>
        <w:t>SOM: $9000.0M (Source: StoreDot April 2023 Corporate Overview)</w:t>
      </w:r>
    </w:p>
    <w:p>
      <w:pPr>
        <w:jc w:val="both"/>
      </w:pPr>
      <w:r>
        <w:rPr>
          <w:rFonts w:ascii="Times New Roman" w:hAnsi="Times New Roman"/>
          <w:sz w:val="24"/>
        </w:rPr>
        <w:t>Market Penetration Potential: 6.0%</w:t>
      </w:r>
    </w:p>
    <w:p>
      <w:pPr>
        <w:jc w:val="both"/>
      </w:pPr>
      <w:r>
        <w:rPr>
          <w:rFonts w:ascii="Times New Roman" w:hAnsi="Times New Roman"/>
          <w:sz w:val="24"/>
        </w:rPr>
        <w:t>Battery Technology</w:t>
      </w:r>
    </w:p>
    <w:p>
      <w:pPr>
        <w:jc w:val="both"/>
      </w:pPr>
      <w:r>
        <w:rPr>
          <w:rFonts w:ascii="Times New Roman" w:hAnsi="Times New Roman"/>
          <w:sz w:val="24"/>
        </w:rPr>
        <w:t>--- Extracted Tables ---</w:t>
      </w:r>
    </w:p>
    <w:p>
      <w:pPr>
        <w:jc w:val="both"/>
      </w:pPr>
      <w:r>
        <w:rPr>
          <w:rFonts w:ascii="Times New Roman" w:hAnsi="Times New Roman"/>
          <w:sz w:val="24"/>
        </w:rPr>
        <w:t>No tables extracted.</w:t>
      </w:r>
    </w:p>
    <w:p>
      <w:pPr>
        <w:jc w:val="both"/>
      </w:pPr>
      <w:r>
        <w:rPr>
          <w:rFonts w:ascii="Times New Roman" w:hAnsi="Times New Roman"/>
          <w:sz w:val="24"/>
        </w:rPr>
        <w:t>6. COMPETITIVE LANDSCAPE (with identified competitors)</w:t>
      </w:r>
    </w:p>
    <w:p>
      <w:pPr>
        <w:jc w:val="both"/>
      </w:pPr>
      <w:r>
        <w:rPr>
          <w:rFonts w:ascii="Times New Roman" w:hAnsi="Times New Roman"/>
          <w:sz w:val="24"/>
        </w:rPr>
        <w:t>QuantumScape: Focuses on solid-state lithium-metal batteries promising higher energy density and faster charging times.</w:t>
      </w:r>
    </w:p>
    <w:p>
      <w:pPr>
        <w:jc w:val="both"/>
      </w:pPr>
      <w:r>
        <w:rPr>
          <w:rFonts w:ascii="Times New Roman" w:hAnsi="Times New Roman"/>
          <w:sz w:val="24"/>
        </w:rPr>
        <w:t>Sila Nanotechnologies: Develops silicon-dominant anode materials that significantly improve battery energy density and charging speed.</w:t>
      </w:r>
    </w:p>
    <w:p>
      <w:pPr>
        <w:jc w:val="both"/>
      </w:pPr>
      <w:r>
        <w:rPr>
          <w:rFonts w:ascii="Times New Roman" w:hAnsi="Times New Roman"/>
          <w:sz w:val="24"/>
        </w:rPr>
        <w:t>Solid Power: Specializes in all-solid-state batteries with scalable manufacturing processes targeting automotive applications.</w:t>
      </w:r>
    </w:p>
    <w:p>
      <w:pPr>
        <w:jc w:val="both"/>
      </w:pPr>
      <w:r>
        <w:rPr>
          <w:rFonts w:ascii="Times New Roman" w:hAnsi="Times New Roman"/>
          <w:b/>
          <w:sz w:val="24"/>
        </w:rPr>
        <w:t>7. BUSINESS MODEL</w:t>
      </w:r>
    </w:p>
    <w:p>
      <w:pPr>
        <w:jc w:val="both"/>
      </w:pPr>
      <w:r>
        <w:rPr>
          <w:rFonts w:ascii="Times New Roman" w:hAnsi="Times New Roman"/>
          <w:sz w:val="24"/>
        </w:rPr>
        <w:t>StoreDot is developing extreme fast charging (XFC) battery technology aimed at accelerating electric vehicle (EV) adoption by drastically reducing charging times to about 10 minutes for 100 miles of range. Their business model centers on licensing their silicon-dominant anode lithium-ion battery technology, which is compatible with existing Li-ion manufacturing lines, enabling scalable, cost-effective integration with OEMs and battery manufacturers. Key customer segments include EV OEMs and battery producers seeking to overcome charging speed limitations and consumer "charging anxiety." StoreDot’s go-to-market strategy involves ongoing testing and partnerships with over 15 OEMs and manufacturing partners, targeting commercial readiness by 2025. The technology’s scalability and compatibility with current production infrastructure position StoreDot well for rapid industry adoption, with a clear roadmap extending to semi-solid and post-lithium batteries by 2028 and 2032 respectively. No recent pivots were noted; the company remains focused on its core XFC battery technology and licensing model. (Sources: StoreDot April 2023 corporate overview, UBS EV battery market report)</w:t>
      </w:r>
    </w:p>
    <w:p>
      <w:pPr>
        <w:jc w:val="both"/>
      </w:pPr>
      <w:r>
        <w:rPr>
          <w:rFonts w:ascii="Times New Roman" w:hAnsi="Times New Roman"/>
          <w:b/>
          <w:sz w:val="24"/>
        </w:rPr>
        <w:t>8. TECHNICAL DUE DILIGENCE</w:t>
      </w:r>
    </w:p>
    <w:p>
      <w:pPr>
        <w:jc w:val="both"/>
      </w:pPr>
      <w:r>
        <w:rPr>
          <w:rFonts w:ascii="Times New Roman" w:hAnsi="Times New Roman"/>
          <w:sz w:val="24"/>
        </w:rPr>
        <w:t>Maturity Level: production</w:t>
      </w:r>
    </w:p>
    <w:p>
      <w:pPr>
        <w:jc w:val="both"/>
      </w:pPr>
      <w:r>
        <w:rPr>
          <w:rFonts w:ascii="Times New Roman" w:hAnsi="Times New Roman"/>
          <w:sz w:val="24"/>
        </w:rPr>
        <w:t>Technical Moat: StoreDot has a 3-5 years' lead on alternative solutions and a strong patent portfolio</w:t>
      </w:r>
    </w:p>
    <w:p>
      <w:pPr>
        <w:jc w:val="both"/>
      </w:pPr>
      <w:r>
        <w:rPr>
          <w:rFonts w:ascii="Times New Roman" w:hAnsi="Times New Roman"/>
          <w:sz w:val="24"/>
        </w:rPr>
        <w:t>Tech Stack: N/A</w:t>
      </w:r>
    </w:p>
    <w:p>
      <w:pPr>
        <w:jc w:val="both"/>
      </w:pPr>
      <w:r>
        <w:rPr>
          <w:rFonts w:ascii="Times New Roman" w:hAnsi="Times New Roman"/>
          <w:sz w:val="24"/>
        </w:rPr>
        <w:t>Scalability:</w:t>
      </w:r>
    </w:p>
    <w:p>
      <w:pPr>
        <w:jc w:val="both"/>
      </w:pPr>
      <w:r>
        <w:rPr>
          <w:rFonts w:ascii="Times New Roman" w:hAnsi="Times New Roman"/>
          <w:sz w:val="24"/>
        </w:rPr>
        <w:t>Security:</w:t>
      </w:r>
    </w:p>
    <w:p>
      <w:pPr>
        <w:jc w:val="both"/>
      </w:pPr>
      <w:r>
        <w:rPr>
          <w:rFonts w:ascii="Times New Roman" w:hAnsi="Times New Roman"/>
          <w:b/>
          <w:sz w:val="24"/>
        </w:rPr>
        <w:t>9. PRODUCT DESCRIPTION</w:t>
      </w:r>
    </w:p>
    <w:p>
      <w:pPr>
        <w:jc w:val="both"/>
      </w:pPr>
      <w:r>
        <w:rPr>
          <w:rFonts w:ascii="Times New Roman" w:hAnsi="Times New Roman"/>
          <w:sz w:val="24"/>
        </w:rPr>
        <w:t>StoreDot has a 3-5 years' lead on alternative solutions and a strong patent portfolio</w:t>
      </w:r>
    </w:p>
    <w:p>
      <w:pPr>
        <w:jc w:val="both"/>
      </w:pPr>
      <w:r>
        <w:rPr>
          <w:rFonts w:ascii="Times New Roman" w:hAnsi="Times New Roman"/>
          <w:sz w:val="24"/>
        </w:rPr>
        <w:t>10. FINANCIAL ANALYSIS (with commentary on data availability)</w:t>
      </w:r>
    </w:p>
    <w:p>
      <w:pPr>
        <w:jc w:val="both"/>
      </w:pPr>
      <w:r>
        <w:rPr>
          <w:rFonts w:ascii="Times New Roman" w:hAnsi="Times New Roman"/>
          <w:sz w:val="24"/>
        </w:rPr>
        <w:t>Implied Valuation: $N/AM</w:t>
      </w:r>
    </w:p>
    <w:p>
      <w:pPr>
        <w:jc w:val="both"/>
      </w:pPr>
      <w:r>
        <w:rPr>
          <w:rFonts w:ascii="Times New Roman" w:hAnsi="Times New Roman"/>
          <w:sz w:val="24"/>
        </w:rPr>
        <w:t>Cash Burn (12 months): $N/AM</w:t>
      </w:r>
    </w:p>
    <w:p>
      <w:pPr>
        <w:jc w:val="both"/>
      </w:pPr>
      <w:r>
        <w:rPr>
          <w:rFonts w:ascii="Times New Roman" w:hAnsi="Times New Roman"/>
          <w:sz w:val="24"/>
        </w:rPr>
        <w:t>Runway: 0 months</w:t>
      </w:r>
    </w:p>
    <w:p>
      <w:pPr>
        <w:jc w:val="both"/>
      </w:pPr>
      <w:r>
        <w:rPr>
          <w:rFonts w:ascii="Times New Roman" w:hAnsi="Times New Roman"/>
          <w:sz w:val="24"/>
        </w:rPr>
        <w:t>Valuation Multiple: 0.0</w:t>
      </w:r>
    </w:p>
    <w:p>
      <w:pPr>
        <w:jc w:val="both"/>
      </w:pPr>
      <w:r>
        <w:rPr>
          <w:rFonts w:ascii="Times New Roman" w:hAnsi="Times New Roman"/>
          <w:sz w:val="24"/>
        </w:rPr>
        <w:t>Financial data is unavailable.</w:t>
      </w:r>
    </w:p>
    <w:p>
      <w:pPr>
        <w:jc w:val="both"/>
      </w:pPr>
      <w:r>
        <w:rPr>
          <w:rFonts w:ascii="Times New Roman" w:hAnsi="Times New Roman"/>
          <w:sz w:val="24"/>
        </w:rPr>
        <w:t>--- Extracted Tables (Financial) ---</w:t>
      </w:r>
    </w:p>
    <w:p>
      <w:pPr>
        <w:jc w:val="both"/>
      </w:pPr>
      <w:r>
        <w:rPr>
          <w:rFonts w:ascii="Times New Roman" w:hAnsi="Times New Roman"/>
          <w:b/>
          <w:sz w:val="24"/>
        </w:rPr>
        <w:t>11. TEAM &amp; MANAGEMENT</w:t>
      </w:r>
    </w:p>
    <w:p>
      <w:pPr>
        <w:jc w:val="both"/>
      </w:pPr>
      <w:r>
        <w:rPr>
          <w:rFonts w:ascii="Times New Roman" w:hAnsi="Times New Roman"/>
          <w:sz w:val="24"/>
        </w:rPr>
        <w:t>Founder: Doron Myersdorf</w:t>
      </w:r>
    </w:p>
    <w:p>
      <w:pPr>
        <w:jc w:val="both"/>
      </w:pPr>
      <w:r>
        <w:rPr>
          <w:rFonts w:ascii="Times New Roman" w:hAnsi="Times New Roman"/>
          <w:sz w:val="24"/>
        </w:rPr>
        <w:t>Founder Fit Score: 0.8 / 1.0</w:t>
      </w:r>
    </w:p>
    <w:p>
      <w:pPr>
        <w:jc w:val="both"/>
      </w:pPr>
      <w:r>
        <w:rPr>
          <w:rFonts w:ascii="Times New Roman" w:hAnsi="Times New Roman"/>
          <w:sz w:val="24"/>
        </w:rPr>
        <w:t>Prior Exits: 2</w:t>
      </w:r>
    </w:p>
    <w:p>
      <w:pPr>
        <w:jc w:val="both"/>
      </w:pPr>
      <w:r>
        <w:rPr>
          <w:rFonts w:ascii="Times New Roman" w:hAnsi="Times New Roman"/>
          <w:sz w:val="24"/>
        </w:rPr>
        <w:t>Sector Experience: Battery Technology</w:t>
      </w:r>
    </w:p>
    <w:p>
      <w:pPr>
        <w:jc w:val="both"/>
      </w:pPr>
      <w:r>
        <w:rPr>
          <w:rFonts w:ascii="Times New Roman" w:hAnsi="Times New Roman"/>
          <w:b/>
          <w:sz w:val="24"/>
        </w:rPr>
        <w:t>12. ESG CONSIDERATIONS</w:t>
      </w:r>
    </w:p>
    <w:p>
      <w:pPr>
        <w:jc w:val="both"/>
      </w:pPr>
      <w:r>
        <w:rPr>
          <w:rFonts w:ascii="Times New Roman" w:hAnsi="Times New Roman"/>
          <w:sz w:val="24"/>
        </w:rPr>
        <w:t>StoreDot is developing extreme fast charging (XFC) lithium-ion battery technology aimed at accelerating electric vehicle (EV) adoption by addressing key barriers such as charging time and infrastructure limitations. Their technology promises charging in 10 minutes with no degradation over 1200 cycles, using scalable, standard Li-ion manufacturing lines, and a cobalt-reduction approach that supports sustainability. Socially, the technology targets reducing "charging anxiety," enhancing user experience and EV accessibility, which aligns with broader climate goals by enabling faster transition to zero-emission vehicles. Governance appears robust with experienced leadership and a global advisory board of EV and battery experts, though detailed ESG policies or disclosures are not provided. No recent ESG controversies or regulatory issues were identified in available materials or web context. Further data on supply chain labor practices, environmental impact of raw materials sourcing, and formal ESG reporting would strengthen the assessment.</w:t>
      </w:r>
    </w:p>
    <w:p>
      <w:pPr>
        <w:jc w:val="both"/>
      </w:pPr>
      <w:r>
        <w:rPr>
          <w:rFonts w:ascii="Times New Roman" w:hAnsi="Times New Roman"/>
          <w:b/>
          <w:sz w:val="24"/>
        </w:rPr>
        <w:t>13. RISKS &amp; MITIGATIONS</w:t>
      </w:r>
    </w:p>
    <w:p>
      <w:pPr>
        <w:jc w:val="both"/>
      </w:pPr>
      <w:r>
        <w:rPr>
          <w:rFonts w:ascii="Times New Roman" w:hAnsi="Times New Roman"/>
          <w:sz w:val="24"/>
        </w:rPr>
        <w:t>Overall Risk Level: HIGH</w:t>
      </w:r>
    </w:p>
    <w:p>
      <w:pPr>
        <w:jc w:val="both"/>
      </w:pPr>
      <w:r>
        <w:rPr>
          <w:rFonts w:ascii="Times New Roman" w:hAnsi="Times New Roman"/>
          <w:sz w:val="24"/>
        </w:rPr>
        <w:t>Risk Score: N/A / 1.0</w:t>
      </w:r>
    </w:p>
    <w:p>
      <w:pPr>
        <w:jc w:val="both"/>
      </w:pPr>
      <w:r>
        <w:rPr>
          <w:rFonts w:ascii="Times New Roman" w:hAnsi="Times New Roman"/>
          <w:sz w:val="24"/>
        </w:rPr>
        <w:t>IDENTIFIED RISKS:</w:t>
      </w:r>
    </w:p>
    <w:p>
      <w:pPr>
        <w:jc w:val="both"/>
      </w:pPr>
      <w:r>
        <w:rPr>
          <w:rFonts w:ascii="Times New Roman" w:hAnsi="Times New Roman"/>
          <w:sz w:val="24"/>
        </w:rPr>
        <w:t>1. Limited financial data</w:t>
      </w:r>
    </w:p>
    <w:p>
      <w:pPr>
        <w:jc w:val="both"/>
      </w:pPr>
      <w:r>
        <w:rPr>
          <w:rFonts w:ascii="Times New Roman" w:hAnsi="Times New Roman"/>
          <w:sz w:val="24"/>
        </w:rPr>
        <w:t>2. Unknown funding stage</w:t>
      </w:r>
    </w:p>
    <w:p>
      <w:pPr>
        <w:jc w:val="both"/>
      </w:pPr>
      <w:r>
        <w:rPr>
          <w:rFonts w:ascii="Times New Roman" w:hAnsi="Times New Roman"/>
          <w:sz w:val="24"/>
        </w:rPr>
        <w:t>3. Limited runway information</w:t>
      </w:r>
    </w:p>
    <w:p>
      <w:pPr>
        <w:jc w:val="both"/>
      </w:pPr>
      <w:r>
        <w:rPr>
          <w:rFonts w:ascii="Times New Roman" w:hAnsi="Times New Roman"/>
          <w:b/>
          <w:sz w:val="24"/>
        </w:rPr>
        <w:t>14. INVESTMENT &amp; EXIT STRATEGIES</w:t>
      </w:r>
    </w:p>
    <w:p>
      <w:pPr>
        <w:jc w:val="both"/>
      </w:pPr>
      <w:r>
        <w:rPr>
          <w:rFonts w:ascii="Times New Roman" w:hAnsi="Times New Roman"/>
          <w:sz w:val="24"/>
        </w:rPr>
        <w:t>Based on the information provided, StoreDot's extreme fast charging battery technology for EVs has the potential for a successful exit strategy. With a 3-5 years lead on alternative solutions and commercially ready by 2025, StoreDot could attract interest from major OEMs and manufacturing partners for acquisition. The technology's scalability, compatibility with existing lithium-ion battery technologies, and competitive cost structure make it an attractive target for acquisition or licensing. An IPO could also be a viable exit strategy, depending on market conditions and the company's growth trajectory. Additional information needed for a more comprehensive analysis includes financial data, market traction, and potential competitors in the space.</w:t>
      </w:r>
    </w:p>
    <w:p>
      <w:pPr>
        <w:jc w:val="both"/>
      </w:pPr>
      <w:r>
        <w:rPr>
          <w:rFonts w:ascii="Times New Roman" w:hAnsi="Times New Roman"/>
          <w:sz w:val="24"/>
        </w:rPr>
        <w:t>15. FOLLOW-UP QUESTIONS &amp; NEXT STEPS</w:t>
      </w:r>
    </w:p>
    <w:p>
      <w:pPr>
        <w:jc w:val="both"/>
      </w:pPr>
      <w:r>
        <w:rPr>
          <w:rFonts w:ascii="Times New Roman" w:hAnsi="Times New Roman"/>
          <w:sz w:val="24"/>
        </w:rPr>
        <w:t>- **Technology Validation &amp; IP**</w:t>
      </w:r>
    </w:p>
    <w:p>
      <w:pPr>
        <w:jc w:val="both"/>
      </w:pPr>
      <w:r>
        <w:rPr>
          <w:rFonts w:ascii="Times New Roman" w:hAnsi="Times New Roman"/>
          <w:sz w:val="24"/>
        </w:rPr>
        <w:t>- Request detailed third-party test reports validating the 10-minute charging claim and &gt;1200 cycle life under extreme fast charging conditions.</w:t>
      </w:r>
    </w:p>
    <w:p>
      <w:pPr>
        <w:jc w:val="both"/>
      </w:pPr>
      <w:r>
        <w:rPr>
          <w:rFonts w:ascii="Times New Roman" w:hAnsi="Times New Roman"/>
          <w:sz w:val="24"/>
        </w:rPr>
        <w:t>- Clarify the scope and geographic coverage of the 78 granted and 22 pending patents; assess potential IP risks or overlaps.</w:t>
      </w:r>
    </w:p>
    <w:p>
      <w:pPr>
        <w:jc w:val="both"/>
      </w:pPr>
      <w:r>
        <w:rPr>
          <w:rFonts w:ascii="Times New Roman" w:hAnsi="Times New Roman"/>
          <w:sz w:val="24"/>
        </w:rPr>
        <w:t>- Understand any known limitations or failure modes of the silicon-dominant anode chemistry in real-world EV applications.</w:t>
      </w:r>
    </w:p>
    <w:p>
      <w:pPr>
        <w:jc w:val="both"/>
      </w:pPr>
      <w:r>
        <w:rPr>
          <w:rFonts w:ascii="Times New Roman" w:hAnsi="Times New Roman"/>
          <w:sz w:val="24"/>
        </w:rPr>
        <w:t>- **OEM &amp; Manufacturing Partnerships**</w:t>
      </w:r>
    </w:p>
    <w:p>
      <w:pPr>
        <w:jc w:val="both"/>
      </w:pPr>
      <w:r>
        <w:rPr>
          <w:rFonts w:ascii="Times New Roman" w:hAnsi="Times New Roman"/>
          <w:sz w:val="24"/>
        </w:rPr>
        <w:t>- Obtain a list of the &gt;15 OEMs and manufacturing partners currently testing the 100in5 cells, including stage of engagement and feedback.</w:t>
      </w:r>
    </w:p>
    <w:p>
      <w:pPr>
        <w:jc w:val="both"/>
      </w:pPr>
      <w:r>
        <w:rPr>
          <w:rFonts w:ascii="Times New Roman" w:hAnsi="Times New Roman"/>
          <w:sz w:val="24"/>
        </w:rPr>
        <w:t>- Confirm commitments or LOIs from OEMs for commercial adoption starting 2025.</w:t>
      </w:r>
    </w:p>
    <w:p>
      <w:pPr>
        <w:jc w:val="both"/>
      </w:pPr>
      <w:r>
        <w:rPr>
          <w:rFonts w:ascii="Times New Roman" w:hAnsi="Times New Roman"/>
          <w:sz w:val="24"/>
        </w:rPr>
        <w:t>- Assess manufacturing scale-up plans: capacity, timelines, and risks related to using existing Li-ion production lines.</w:t>
      </w:r>
    </w:p>
    <w:p>
      <w:pPr>
        <w:jc w:val="both"/>
      </w:pPr>
      <w:r>
        <w:rPr>
          <w:rFonts w:ascii="Times New Roman" w:hAnsi="Times New Roman"/>
          <w:sz w:val="24"/>
        </w:rPr>
        <w:t>- **Product Roadmap &amp; Differentiation**</w:t>
      </w:r>
    </w:p>
    <w:p>
      <w:pPr>
        <w:jc w:val="both"/>
      </w:pPr>
      <w:r>
        <w:rPr>
          <w:rFonts w:ascii="Times New Roman" w:hAnsi="Times New Roman"/>
          <w:sz w:val="24"/>
        </w:rPr>
        <w:t>- Request detailed technical roadmap milestones for 2024, 2028, and 2032 products, including semi-solid and post-lithium chemistries.</w:t>
      </w:r>
    </w:p>
    <w:p>
      <w:pPr>
        <w:jc w:val="both"/>
      </w:pPr>
      <w:r>
        <w:rPr>
          <w:rFonts w:ascii="Times New Roman" w:hAnsi="Times New Roman"/>
          <w:sz w:val="24"/>
        </w:rPr>
        <w:t>- Clarify competitive positioning vs. other emerging battery technologies (solid-state, silicon-dominant anodes) with independent benchmarking data.</w:t>
      </w:r>
    </w:p>
    <w:p>
      <w:pPr>
        <w:jc w:val="both"/>
      </w:pPr>
      <w:r>
        <w:rPr>
          <w:rFonts w:ascii="Times New Roman" w:hAnsi="Times New Roman"/>
          <w:sz w:val="24"/>
        </w:rPr>
        <w:t>- Understand cost structure assumptions and expected cost per kWh at scale compared to incumbent Li-ion batteries.</w:t>
      </w:r>
    </w:p>
    <w:p>
      <w:pPr>
        <w:jc w:val="both"/>
      </w:pPr>
      <w:r>
        <w:rPr>
          <w:rFonts w:ascii="Times New Roman" w:hAnsi="Times New Roman"/>
          <w:sz w:val="24"/>
        </w:rPr>
        <w:t>- **Market &amp; Commercial Strategy**</w:t>
      </w:r>
    </w:p>
    <w:p>
      <w:pPr>
        <w:jc w:val="both"/>
      </w:pPr>
      <w:r>
        <w:rPr>
          <w:rFonts w:ascii="Times New Roman" w:hAnsi="Times New Roman"/>
          <w:sz w:val="24"/>
        </w:rPr>
        <w:t>- Clarify go-to-market strategy: licensing model details, pricing, and revenue projections.</w:t>
      </w:r>
    </w:p>
    <w:p>
      <w:pPr>
        <w:jc w:val="both"/>
      </w:pPr>
      <w:r>
        <w:rPr>
          <w:rFonts w:ascii="Times New Roman" w:hAnsi="Times New Roman"/>
          <w:sz w:val="24"/>
        </w:rPr>
        <w:t>- Assess how StoreDot plans to address charging infrastructure and standardization challenges beyond battery tech.</w:t>
      </w:r>
    </w:p>
    <w:p>
      <w:pPr>
        <w:jc w:val="both"/>
      </w:pPr>
      <w:r>
        <w:rPr>
          <w:rFonts w:ascii="Times New Roman" w:hAnsi="Times New Roman"/>
          <w:sz w:val="24"/>
        </w:rPr>
        <w:t>- Request market adoption forecasts and sensitivity analysis on EV penetration and charging infrastructure growth assumptions.</w:t>
      </w:r>
    </w:p>
    <w:p>
      <w:pPr>
        <w:jc w:val="both"/>
      </w:pPr>
      <w:r>
        <w:rPr>
          <w:rFonts w:ascii="Times New Roman" w:hAnsi="Times New Roman"/>
          <w:sz w:val="24"/>
        </w:rPr>
        <w:t>- **Financials &amp; Funding**</w:t>
      </w:r>
    </w:p>
    <w:p>
      <w:pPr>
        <w:jc w:val="both"/>
      </w:pPr>
      <w:r>
        <w:rPr>
          <w:rFonts w:ascii="Times New Roman" w:hAnsi="Times New Roman"/>
          <w:sz w:val="24"/>
        </w:rPr>
        <w:t>- Request current financial statements, burn rate, and runway.</w:t>
      </w:r>
    </w:p>
    <w:p>
      <w:pPr>
        <w:jc w:val="both"/>
      </w:pPr>
      <w:r>
        <w:rPr>
          <w:rFonts w:ascii="Times New Roman" w:hAnsi="Times New Roman"/>
          <w:sz w:val="24"/>
        </w:rPr>
        <w:t>- Understand capital requirements for commercialization and scale-up through 2025 and beyond.</w:t>
      </w:r>
    </w:p>
    <w:p>
      <w:pPr>
        <w:jc w:val="both"/>
      </w:pPr>
      <w:r>
        <w:rPr>
          <w:rFonts w:ascii="Times New Roman" w:hAnsi="Times New Roman"/>
          <w:sz w:val="24"/>
        </w:rPr>
        <w:t>- Clarify existing investors, funding rounds, and valuation expectations.</w:t>
      </w:r>
    </w:p>
    <w:p>
      <w:pPr>
        <w:jc w:val="both"/>
      </w:pPr>
      <w:r>
        <w:rPr>
          <w:rFonts w:ascii="Times New Roman" w:hAnsi="Times New Roman"/>
          <w:sz w:val="24"/>
        </w:rPr>
        <w:t>- **Team &amp; Execution Risk**</w:t>
      </w:r>
    </w:p>
    <w:p>
      <w:pPr>
        <w:jc w:val="both"/>
      </w:pPr>
      <w:r>
        <w:rPr>
          <w:rFonts w:ascii="Times New Roman" w:hAnsi="Times New Roman"/>
          <w:sz w:val="24"/>
        </w:rPr>
        <w:t>- Validate key team members’ relevant EV battery commercialization experience.</w:t>
      </w:r>
    </w:p>
    <w:p>
      <w:pPr>
        <w:jc w:val="both"/>
      </w:pPr>
      <w:r>
        <w:rPr>
          <w:rFonts w:ascii="Times New Roman" w:hAnsi="Times New Roman"/>
          <w:sz w:val="24"/>
        </w:rPr>
        <w:t>- Understand hiring plans to support scale-up and R&amp;D roadmap.</w:t>
      </w:r>
    </w:p>
    <w:p>
      <w:pPr>
        <w:jc w:val="both"/>
      </w:pPr>
      <w:r>
        <w:rPr>
          <w:rFonts w:ascii="Times New Roman" w:hAnsi="Times New Roman"/>
          <w:sz w:val="24"/>
        </w:rPr>
        <w:t>- Assess potential execution risks, including supply chain dependencies and regulatory hurdles.</w:t>
      </w:r>
    </w:p>
    <w:p>
      <w:pPr>
        <w:jc w:val="both"/>
      </w:pPr>
      <w:r>
        <w:rPr>
          <w:rFonts w:ascii="Times New Roman" w:hAnsi="Times New Roman"/>
          <w:sz w:val="24"/>
        </w:rPr>
        <w:t>**Next Steps:**</w:t>
      </w:r>
    </w:p>
    <w:p>
      <w:pPr>
        <w:jc w:val="both"/>
      </w:pPr>
      <w:r>
        <w:rPr>
          <w:rFonts w:ascii="Times New Roman" w:hAnsi="Times New Roman"/>
          <w:sz w:val="24"/>
        </w:rPr>
        <w:t>- Schedule technical deep-dive with CTO and R&amp;D leads.</w:t>
      </w:r>
    </w:p>
    <w:p>
      <w:pPr>
        <w:jc w:val="both"/>
      </w:pPr>
      <w:r>
        <w:rPr>
          <w:rFonts w:ascii="Times New Roman" w:hAnsi="Times New Roman"/>
          <w:sz w:val="24"/>
        </w:rPr>
        <w:t>- Conduct reference checks with OEM partners.</w:t>
      </w:r>
    </w:p>
    <w:p>
      <w:pPr>
        <w:jc w:val="both"/>
      </w:pPr>
      <w:r>
        <w:rPr>
          <w:rFonts w:ascii="Times New Roman" w:hAnsi="Times New Roman"/>
          <w:sz w:val="24"/>
        </w:rPr>
        <w:t>- Engage independent battery technology experts for due diligence.</w:t>
      </w:r>
    </w:p>
    <w:p>
      <w:pPr>
        <w:jc w:val="both"/>
      </w:pPr>
      <w:r>
        <w:rPr>
          <w:rFonts w:ascii="Times New Roman" w:hAnsi="Times New Roman"/>
          <w:sz w:val="24"/>
        </w:rPr>
        <w:t>- Review detailed financial model and commercialization plan.</w:t>
      </w:r>
    </w:p>
    <w:p>
      <w:pPr>
        <w:jc w:val="both"/>
      </w:pPr>
      <w:r>
        <w:rPr>
          <w:rFonts w:ascii="Times New Roman" w:hAnsi="Times New Roman"/>
          <w:sz w:val="24"/>
        </w:rPr>
        <w:t>- Monitor competitive landscape and emerging battery tech developments.</w:t>
      </w:r>
    </w:p>
    <w:p>
      <w:pPr>
        <w:jc w:val="both"/>
      </w:pPr>
      <w:r>
        <w:rPr>
          <w:rFonts w:ascii="Times New Roman" w:hAnsi="Times New Roman"/>
          <w:sz w:val="24"/>
        </w:rPr>
        <w:t>If these points are addressed satisfactorily, proceed to term sheet discussion.</w:t>
      </w:r>
    </w:p>
    <w:p>
      <w:pPr>
        <w:jc w:val="both"/>
      </w:pPr>
      <w:r>
        <w:rPr>
          <w:rFonts w:ascii="Times New Roman" w:hAnsi="Times New Roman"/>
          <w:b/>
          <w:sz w:val="24"/>
        </w:rPr>
        <w:t>16. FIGURES &amp; VISUALS</w:t>
      </w:r>
    </w:p>
    <w:p>
      <w:pPr>
        <w:jc w:val="both"/>
      </w:pPr>
      <w:r>
        <w:rPr>
          <w:rFonts w:ascii="Times New Roman" w:hAnsi="Times New Roman"/>
          <w:sz w:val="24"/>
        </w:rPr>
        <w:t>No figures extracted.</w:t>
      </w:r>
    </w:p>
    <w:p>
      <w:pPr>
        <w:jc w:val="both"/>
      </w:pPr>
      <w:r>
        <w:rPr>
          <w:rFonts w:ascii="Times New Roman" w:hAnsi="Times New Roman"/>
          <w:sz w:val="24"/>
        </w:rPr>
        <w:t>17. APPENDIX: ADDITIONAL TABLES</w:t>
      </w:r>
    </w:p>
    <w:p>
      <w:pPr>
        <w:jc w:val="both"/>
      </w:pPr>
      <w:r>
        <w:rPr>
          <w:rFonts w:ascii="Times New Roman" w:hAnsi="Times New Roman"/>
          <w:b/>
          <w:sz w:val="24"/>
        </w:rPr>
        <w:t>18. DISCUSSION &amp; ANALYST COMMENTARY</w:t>
      </w:r>
    </w:p>
    <w:p>
      <w:pPr>
        <w:jc w:val="both"/>
      </w:pPr>
      <w:r>
        <w:rPr>
          <w:rFonts w:ascii="Times New Roman" w:hAnsi="Times New Roman"/>
          <w:sz w:val="24"/>
        </w:rPr>
        <w:t>**Analyst Commentary on StoreDot Investment Memo**</w:t>
      </w:r>
    </w:p>
    <w:p>
      <w:pPr>
        <w:jc w:val="both"/>
      </w:pPr>
      <w:r>
        <w:rPr>
          <w:rFonts w:ascii="Times New Roman" w:hAnsi="Times New Roman"/>
          <w:sz w:val="24"/>
        </w:rPr>
        <w:t>---</w:t>
      </w:r>
    </w:p>
    <w:p>
      <w:pPr>
        <w:jc w:val="both"/>
      </w:pPr>
      <w:r>
        <w:rPr>
          <w:rFonts w:ascii="Times New Roman" w:hAnsi="Times New Roman"/>
          <w:sz w:val="24"/>
        </w:rPr>
        <w:t>### Key Strengths</w:t>
      </w:r>
    </w:p>
    <w:p>
      <w:pPr>
        <w:jc w:val="both"/>
      </w:pPr>
      <w:r>
        <w:rPr>
          <w:rFonts w:ascii="Times New Roman" w:hAnsi="Times New Roman"/>
          <w:sz w:val="24"/>
        </w:rPr>
        <w:t>- **Technology Lead &amp; IP Moat:** StoreDot claims a 3-5 year technological lead with a strong patent portfolio (78 granted US patents), which is significant in the highly competitive battery space. Their silicon-dominant anode lithium-ion technology enabling 100 miles of range in 5-10 minutes charging is a compelling breakthrough addressing a critical EV adoption barrier.</w:t>
      </w:r>
    </w:p>
    <w:p>
      <w:pPr>
        <w:jc w:val="both"/>
      </w:pPr>
      <w:r>
        <w:rPr>
          <w:rFonts w:ascii="Times New Roman" w:hAnsi="Times New Roman"/>
          <w:sz w:val="24"/>
        </w:rPr>
        <w:t>- **Market Relevance &amp; Timing:** The focus on extreme fast charging (XFC) batteries directly tackles "charging anxiety," a well-documented inhibitor of EV adoption. Commercial readiness targeted for 2025 aligns well with accelerating EV market growth and OEM demand for differentiated battery solutions.</w:t>
      </w:r>
    </w:p>
    <w:p>
      <w:pPr>
        <w:jc w:val="both"/>
      </w:pPr>
      <w:r>
        <w:rPr>
          <w:rFonts w:ascii="Times New Roman" w:hAnsi="Times New Roman"/>
          <w:sz w:val="24"/>
        </w:rPr>
        <w:t>- **Business Model &amp; Scalability:** Licensing a drop-in compatible technology that fits existing Li-ion manufacturing lines reduces capital intensity and accelerates adoption. Partnerships with 15+ OEMs/manufacturers indicate strong industry interest and validation.</w:t>
      </w:r>
    </w:p>
    <w:p>
      <w:pPr>
        <w:jc w:val="both"/>
      </w:pPr>
      <w:r>
        <w:rPr>
          <w:rFonts w:ascii="Times New Roman" w:hAnsi="Times New Roman"/>
          <w:sz w:val="24"/>
        </w:rPr>
        <w:t>- **Founder &amp; Team:** Doron Myersdorf’s strong founder fit score (0.8/1) and prior exits in battery tech provide confidence in execution capability.</w:t>
      </w:r>
    </w:p>
    <w:p>
      <w:pPr>
        <w:jc w:val="both"/>
      </w:pPr>
      <w:r>
        <w:rPr>
          <w:rFonts w:ascii="Times New Roman" w:hAnsi="Times New Roman"/>
          <w:sz w:val="24"/>
        </w:rPr>
        <w:t>- **ESG Alignment:** The technology supports sustainability goals by reducing cobalt use and enabling faster EV adoption, aligning with global decarbonization trends.</w:t>
      </w:r>
    </w:p>
    <w:p>
      <w:pPr>
        <w:jc w:val="both"/>
      </w:pPr>
      <w:r>
        <w:rPr>
          <w:rFonts w:ascii="Times New Roman" w:hAnsi="Times New Roman"/>
          <w:sz w:val="24"/>
        </w:rPr>
        <w:t>### Key Weaknesses</w:t>
      </w:r>
    </w:p>
    <w:p>
      <w:pPr>
        <w:jc w:val="both"/>
      </w:pPr>
      <w:r>
        <w:rPr>
          <w:rFonts w:ascii="Times New Roman" w:hAnsi="Times New Roman"/>
          <w:sz w:val="24"/>
        </w:rPr>
        <w:t>- **Lack of Financial Transparency:** No financial data, funding stage, burn rate, or runway information is provided, representing a major due diligence gap and increasing investment risk.</w:t>
      </w:r>
    </w:p>
    <w:p>
      <w:pPr>
        <w:jc w:val="both"/>
      </w:pPr>
      <w:r>
        <w:rPr>
          <w:rFonts w:ascii="Times New Roman" w:hAnsi="Times New Roman"/>
          <w:sz w:val="24"/>
        </w:rPr>
        <w:t>- **Unclear Commercial Commitments:** While partnerships exist, there is no clarity on binding commitments or LOIs from OEMs, which clouds near-term revenue visibility.</w:t>
      </w:r>
    </w:p>
    <w:p>
      <w:pPr>
        <w:jc w:val="both"/>
      </w:pPr>
      <w:r>
        <w:rPr>
          <w:rFonts w:ascii="Times New Roman" w:hAnsi="Times New Roman"/>
          <w:sz w:val="24"/>
        </w:rPr>
        <w:t>- **Limited Technical Validation Data:** Absence of independent third-party validation of key claims (charging speed, cycle life) raises questions about real-world performance and durability.</w:t>
      </w:r>
    </w:p>
    <w:p>
      <w:pPr>
        <w:jc w:val="both"/>
      </w:pPr>
      <w:r>
        <w:rPr>
          <w:rFonts w:ascii="Times New Roman" w:hAnsi="Times New Roman"/>
          <w:sz w:val="24"/>
        </w:rPr>
        <w:t>- **Execution Risks:** Scale-up risks remain unquantified, including manufacturing capacity, supply chain dependencies, and integration challenges with OEMs.</w:t>
      </w:r>
    </w:p>
    <w:p>
      <w:pPr>
        <w:jc w:val="both"/>
      </w:pPr>
      <w:r>
        <w:rPr>
          <w:rFonts w:ascii="Times New Roman" w:hAnsi="Times New Roman"/>
          <w:sz w:val="24"/>
        </w:rPr>
        <w:t>- **Competitive Landscape:** Competitors like QuantumScape and Sila Nanotechnologies are also advancing fast-charging and silicon-anode tech, potentially eroding StoreDot’s lead if they accelerate commercialization.</w:t>
      </w:r>
    </w:p>
    <w:p>
      <w:pPr>
        <w:jc w:val="both"/>
      </w:pPr>
      <w:r>
        <w:rPr>
          <w:rFonts w:ascii="Times New Roman" w:hAnsi="Times New Roman"/>
          <w:sz w:val="24"/>
        </w:rPr>
        <w:t>### Opportunities</w:t>
      </w:r>
    </w:p>
    <w:p>
      <w:pPr>
        <w:jc w:val="both"/>
      </w:pPr>
      <w:r>
        <w:rPr>
          <w:rFonts w:ascii="Times New Roman" w:hAnsi="Times New Roman"/>
          <w:sz w:val="24"/>
        </w:rPr>
        <w:t>- **Mass EV Adoption Catalyst:** If StoreDot delivers on its promise, it could become a critical enabler for mainstream EV adoption, unlocking a multi-billion-dollar market opportunity ($150B TAM).</w:t>
      </w:r>
    </w:p>
    <w:p>
      <w:pPr>
        <w:jc w:val="both"/>
      </w:pPr>
      <w:r>
        <w:rPr>
          <w:rFonts w:ascii="Times New Roman" w:hAnsi="Times New Roman"/>
          <w:sz w:val="24"/>
        </w:rPr>
        <w:t>- **Licensing &amp; Acquisition Potential:** The licensing model offers scalable revenue with limited capital expenditure, and the technology could attract strategic acquisition interest from OEMs or battery giants.</w:t>
      </w:r>
    </w:p>
    <w:p>
      <w:pPr>
        <w:jc w:val="both"/>
      </w:pPr>
      <w:r>
        <w:rPr>
          <w:rFonts w:ascii="Times New Roman" w:hAnsi="Times New Roman"/>
          <w:sz w:val="24"/>
        </w:rPr>
        <w:t>- **Technology Roadmap:** Planned evolution towards semi-solid and post-lithium batteries by 2028 and 2032 positions StoreDot for long-term relevance beyond current Li-ion tech.</w:t>
      </w:r>
    </w:p>
    <w:p>
      <w:pPr>
        <w:jc w:val="both"/>
      </w:pPr>
      <w:r>
        <w:rPr>
          <w:rFonts w:ascii="Times New Roman" w:hAnsi="Times New Roman"/>
          <w:sz w:val="24"/>
        </w:rPr>
        <w:t>- **Sustainability Trends:** Growing regulatory pressure and consumer demand for greener vehicles enhance the attractiveness of fast-charging, cobalt-reduced batteries.</w:t>
      </w:r>
    </w:p>
    <w:p>
      <w:pPr>
        <w:jc w:val="both"/>
      </w:pPr>
      <w:r>
        <w:rPr>
          <w:rFonts w:ascii="Times New Roman" w:hAnsi="Times New Roman"/>
          <w:sz w:val="24"/>
        </w:rPr>
        <w:t>### Risks</w:t>
      </w:r>
    </w:p>
    <w:p>
      <w:pPr>
        <w:jc w:val="both"/>
      </w:pPr>
      <w:r>
        <w:rPr>
          <w:rFonts w:ascii="Times New Roman" w:hAnsi="Times New Roman"/>
          <w:sz w:val="24"/>
        </w:rPr>
        <w:t>- **High Overall Risk Level:** The memo explicitly rates risk as high, driven by financial opacity, execution uncertainties, and competitive pressures.</w:t>
      </w:r>
    </w:p>
    <w:p>
      <w:pPr>
        <w:jc w:val="both"/>
      </w:pPr>
      <w:r>
        <w:rPr>
          <w:rFonts w:ascii="Times New Roman" w:hAnsi="Times New Roman"/>
          <w:sz w:val="24"/>
        </w:rPr>
        <w:t>- **Technology Adoption Risk:** OEMs may be slow to adopt new battery chemistries due to safety, reliability, and integration concerns.</w:t>
      </w:r>
    </w:p>
    <w:p>
      <w:pPr>
        <w:jc w:val="both"/>
      </w:pPr>
      <w:r>
        <w:rPr>
          <w:rFonts w:ascii="Times New Roman" w:hAnsi="Times New Roman"/>
          <w:sz w:val="24"/>
        </w:rPr>
        <w:t>- **IP &amp; Patent Risks:** Potential overlaps or challenges in the silicon-anode space could lead to costly litigation or licensing disputes.</w:t>
      </w:r>
    </w:p>
    <w:p>
      <w:pPr>
        <w:jc w:val="both"/>
      </w:pPr>
      <w:r>
        <w:rPr>
          <w:rFonts w:ascii="Times New Roman" w:hAnsi="Times New Roman"/>
          <w:sz w:val="24"/>
        </w:rPr>
        <w:t>- **Market &amp; Infrastructure Dependencies:** Success depends not only on battery tech but also on charging infrastructure rollout and standardization, which are outside StoreDot’s direct control.</w:t>
      </w:r>
    </w:p>
    <w:p>
      <w:pPr>
        <w:jc w:val="both"/>
      </w:pPr>
      <w:r>
        <w:rPr>
          <w:rFonts w:ascii="Times New Roman" w:hAnsi="Times New Roman"/>
          <w:sz w:val="24"/>
        </w:rPr>
        <w:t>- **Funding &amp; Runway Uncertainty:** Unknown funding status and zero runway reported could jeopardize timely commercialization.</w:t>
      </w:r>
    </w:p>
    <w:p>
      <w:pPr>
        <w:jc w:val="both"/>
      </w:pPr>
      <w:r>
        <w:rPr>
          <w:rFonts w:ascii="Times New Roman" w:hAnsi="Times New Roman"/>
          <w:sz w:val="24"/>
        </w:rPr>
        <w:t>### Actionable Recommendations for Investors</w:t>
      </w:r>
    </w:p>
    <w:p>
      <w:pPr>
        <w:jc w:val="both"/>
      </w:pPr>
      <w:r>
        <w:rPr>
          <w:rFonts w:ascii="Times New Roman" w:hAnsi="Times New Roman"/>
          <w:sz w:val="24"/>
        </w:rPr>
        <w:t>1. **Prioritize Due Diligence on Technology Validation:** Insist on independent third-party test results confirming charging speed, cycle life, and safety under real-world conditions before committing capital.</w:t>
      </w:r>
    </w:p>
    <w:p>
      <w:pPr>
        <w:jc w:val="both"/>
      </w:pPr>
      <w:r>
        <w:rPr>
          <w:rFonts w:ascii="Times New Roman" w:hAnsi="Times New Roman"/>
          <w:sz w:val="24"/>
        </w:rPr>
        <w:t>2. **Demand Financial Transparency:** Obtain detailed financials, burn rate, runway, and funding plans to assess capital needs and dilution risk.</w:t>
      </w:r>
    </w:p>
    <w:p>
      <w:pPr>
        <w:jc w:val="both"/>
      </w:pPr>
      <w:r>
        <w:rPr>
          <w:rFonts w:ascii="Times New Roman" w:hAnsi="Times New Roman"/>
          <w:sz w:val="24"/>
        </w:rPr>
        <w:t>3. **Clarify OEM Commitments:** Secure evidence of binding agreements or LOIs from OEMs to validate commercial traction and revenue pipeline.</w:t>
      </w:r>
    </w:p>
    <w:p>
      <w:pPr>
        <w:jc w:val="both"/>
      </w:pPr>
      <w:r>
        <w:rPr>
          <w:rFonts w:ascii="Times New Roman" w:hAnsi="Times New Roman"/>
          <w:sz w:val="24"/>
        </w:rPr>
        <w:t>4. **Assess Competitive Positioning:** Conduct benchmarking against competitors’ technologies and timelines to validate StoreDot’s claimed lead and defensibility.</w:t>
      </w:r>
    </w:p>
    <w:p>
      <w:pPr>
        <w:jc w:val="both"/>
      </w:pPr>
      <w:r>
        <w:rPr>
          <w:rFonts w:ascii="Times New Roman" w:hAnsi="Times New Roman"/>
          <w:sz w:val="24"/>
        </w:rPr>
        <w:t>5. **Evaluate Scale-Up &amp; Supply Chain Risks:** Review manufacturing scale-up plans, capacity constraints, and supply chain robustness to identify execution bottlenecks.</w:t>
      </w:r>
    </w:p>
    <w:p>
      <w:pPr>
        <w:jc w:val="both"/>
      </w:pPr>
      <w:r>
        <w:rPr>
          <w:rFonts w:ascii="Times New Roman" w:hAnsi="Times New Roman"/>
          <w:sz w:val="24"/>
        </w:rPr>
        <w:t>6. **Monitor Regulatory &amp; ESG Factors:** Ensure compliance with evolving battery regulations and strengthen ESG disclosures to mitigate reputational risks.</w:t>
      </w:r>
    </w:p>
    <w:p>
      <w:pPr>
        <w:jc w:val="both"/>
      </w:pPr>
      <w:r>
        <w:rPr>
          <w:rFonts w:ascii="Times New Roman" w:hAnsi="Times New Roman"/>
          <w:sz w:val="24"/>
        </w:rPr>
        <w:t>7. **Structure Investment with Milestone Tranches:** Given high risk and data gaps, consider staged investment tied to technical validation, OEM commitments, and financial milestones.</w:t>
      </w:r>
    </w:p>
    <w:p>
      <w:pPr>
        <w:jc w:val="both"/>
      </w:pPr>
      <w:r>
        <w:rPr>
          <w:rFonts w:ascii="Times New Roman" w:hAnsi="Times New Roman"/>
          <w:sz w:val="24"/>
        </w:rPr>
        <w:t>### Conclusion</w:t>
      </w:r>
    </w:p>
    <w:p>
      <w:pPr>
        <w:jc w:val="both"/>
      </w:pPr>
      <w:r>
        <w:rPr>
          <w:rFonts w:ascii="Times New Roman" w:hAnsi="Times New Roman"/>
          <w:sz w:val="24"/>
        </w:rPr>
        <w:t>StoreDot presents a highly promising technology with strong potential to disrupt the EV battery market by solving a critical pain point—charging time. However, significant information gaps, especially around financials, OEM commitments, and independent technical validation, elevate investment risk. A cautious, data-driven approach with rigorous due diligence and milestone-based funding is recommended to capitalize on StoreDot’s upside while mitigating downside exposure.</w:t>
      </w:r>
    </w:p>
    <w:p>
      <w:pPr>
        <w:jc w:val="both"/>
      </w:pPr>
      <w:r>
        <w:rPr>
          <w:rFonts w:ascii="Times New Roman" w:hAnsi="Times New Roman"/>
          <w:sz w:val="24"/>
        </w:rPr>
        <w:t>Generated by VC Analysis System on July 11, 2025</w:t>
      </w:r>
    </w:p>
    <w:p>
      <w:pPr>
        <w:jc w:val="both"/>
      </w:pPr>
      <w:r>
        <w:rPr>
          <w:rFonts w:ascii="Times New Roman" w:hAnsi="Times New Roman"/>
          <w:sz w:val="24"/>
        </w:rPr>
        <w:t>Data Sources: Company documents, market research, competitive intelligence, technical analysis</w:t>
      </w:r>
    </w:p>
    <w:p>
      <w:pPr>
        <w:jc w:val="both"/>
      </w:pPr>
      <w:r>
        <w:rPr>
          <w:rFonts w:ascii="Times New Roman" w:hAnsi="Times New Roman"/>
          <w:sz w:val="24"/>
        </w:rPr>
        <w:t>Analysis Framework: Multi-agent AI system with specialized domain expertise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