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1538287"/>
            <wp:docPr id="1" name="Picture 1"/>
            <wp:cNvGraphicFramePr>
              <a:graphicFrameLocks noChangeAspect="1"/>
            </wp:cNvGraphicFramePr>
            <a:graphic>
              <a:graphicData uri="http://schemas.openxmlformats.org/drawingml/2006/picture">
                <pic:pic>
                  <pic:nvPicPr>
                    <pic:cNvPr id="0" name="front_page.jpg"/>
                    <pic:cNvPicPr/>
                  </pic:nvPicPr>
                  <pic:blipFill>
                    <a:blip r:embed="rId9"/>
                    <a:stretch>
                      <a:fillRect/>
                    </a:stretch>
                  </pic:blipFill>
                  <pic:spPr>
                    <a:xfrm>
                      <a:off x="0" y="0"/>
                      <a:ext cx="4572000" cy="1538287"/>
                    </a:xfrm>
                    <a:prstGeom prst="rect"/>
                  </pic:spPr>
                </pic:pic>
              </a:graphicData>
            </a:graphic>
          </wp:inline>
        </w:drawing>
      </w:r>
    </w:p>
    <w:p/>
    <w:p/>
    <w:p/>
    <w:p/>
    <w:p>
      <w:pPr>
        <w:jc w:val="cente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11, 2025 at 01:09 PM</w:t>
      </w:r>
    </w:p>
    <w:p>
      <w:r>
        <w:br w:type="page"/>
      </w:r>
    </w:p>
    <w:p>
      <w:pPr>
        <w:sectPr>
          <w:headerReference w:type="default" r:id="rId10"/>
          <w:pgSz w:w="12240" w:h="15840"/>
          <w:pgMar w:top="1440" w:right="1800" w:bottom="1440" w:left="1800" w:header="720" w:footer="720" w:gutter="0"/>
          <w:cols w:space="720"/>
          <w:docGrid w:linePitch="360"/>
        </w:sectPr>
      </w:pPr>
    </w:p>
    <w:p>
      <w:pPr>
        <w:jc w:val="both"/>
      </w:pPr>
      <w:r>
        <w:rPr>
          <w:rFonts w:ascii="Times New Roman" w:hAnsi="Times New Roman"/>
          <w:sz w:val="24"/>
        </w:rPr>
        <w:t>INVESTMENT MEMORANDUM – StoreDot</w:t>
      </w:r>
    </w:p>
    <w:p>
      <w:pPr>
        <w:jc w:val="both"/>
      </w:pPr>
      <w:r>
        <w:rPr>
          <w:rFonts w:ascii="Times New Roman" w:hAnsi="Times New Roman"/>
          <w:sz w:val="24"/>
        </w:rPr>
        <w:t>(Prepared July 11, 2025)</w:t>
      </w:r>
    </w:p>
    <w:p>
      <w:pPr>
        <w:jc w:val="both"/>
      </w:pPr>
      <w:r>
        <w:rPr>
          <w:rFonts w:ascii="Times New Roman" w:hAnsi="Times New Roman"/>
          <w:b/>
          <w:sz w:val="24"/>
        </w:rPr>
        <w:t>1. DETAILED SUMMARY</w:t>
      </w:r>
    </w:p>
    <w:p>
      <w:pPr>
        <w:jc w:val="both"/>
      </w:pPr>
      <w:r>
        <w:rPr>
          <w:rFonts w:ascii="Times New Roman" w:hAnsi="Times New Roman"/>
          <w:sz w:val="24"/>
        </w:rPr>
        <w:t>============================================================</w:t>
      </w:r>
    </w:p>
    <w:p>
      <w:pPr>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jc w:val="both"/>
      </w:pPr>
      <w:r>
        <w:rPr>
          <w:rFonts w:ascii="Times New Roman" w:hAnsi="Times New Roman"/>
          <w:sz w:val="24"/>
        </w:rPr>
        <w:t>2. COMPANY OVERVIEW (including team and website)</w:t>
      </w:r>
    </w:p>
    <w:p>
      <w:pPr>
        <w:jc w:val="both"/>
      </w:pPr>
      <w:r>
        <w:rPr>
          <w:rFonts w:ascii="Times New Roman" w:hAnsi="Times New Roman"/>
          <w:sz w:val="24"/>
        </w:rPr>
        <w:t>Company: StoreDot</w:t>
      </w:r>
    </w:p>
    <w:p>
      <w:pPr>
        <w:jc w:val="both"/>
      </w:pPr>
      <w:r>
        <w:rPr>
          <w:rFonts w:ascii="Times New Roman" w:hAnsi="Times New Roman"/>
          <w:sz w:val="24"/>
        </w:rPr>
        <w:t>Sector: Battery Technology</w:t>
      </w:r>
    </w:p>
    <w:p>
      <w:pPr>
        <w:jc w:val="both"/>
      </w:pPr>
      <w:r>
        <w:rPr>
          <w:rFonts w:ascii="Times New Roman" w:hAnsi="Times New Roman"/>
          <w:sz w:val="24"/>
        </w:rPr>
        <w:t>Website: The official website for the company 'StoreDot' is https://storedot.com.</w:t>
      </w:r>
    </w:p>
    <w:p>
      <w:pPr>
        <w:jc w:val="both"/>
      </w:pPr>
      <w:r>
        <w:rPr>
          <w:rFonts w:ascii="Times New Roman" w:hAnsi="Times New Roman"/>
          <w:sz w:val="24"/>
        </w:rPr>
        <w:t>Funding Stage: unknown</w:t>
      </w:r>
    </w:p>
    <w:p>
      <w:pPr>
        <w:jc w:val="both"/>
      </w:pPr>
      <w:r>
        <w:rPr>
          <w:rFonts w:ascii="Times New Roman" w:hAnsi="Times New Roman"/>
          <w:sz w:val="24"/>
        </w:rPr>
        <w:t>Team: Doron Myersdorf</w:t>
      </w:r>
    </w:p>
    <w:p>
      <w:pPr>
        <w:jc w:val="both"/>
      </w:pPr>
      <w:r>
        <w:rPr>
          <w:rFonts w:ascii="Times New Roman" w:hAnsi="Times New Roman"/>
          <w:b/>
          <w:sz w:val="24"/>
        </w:rPr>
        <w:t>3. PROBLEM STATEMENT</w:t>
      </w:r>
    </w:p>
    <w:p>
      <w:pPr>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jc w:val="both"/>
      </w:pPr>
      <w:r>
        <w:rPr>
          <w:rFonts w:ascii="Times New Roman" w:hAnsi="Times New Roman"/>
          <w:b/>
          <w:sz w:val="24"/>
        </w:rPr>
        <w:t>4. SOLUTION OVERVIEW</w:t>
      </w:r>
    </w:p>
    <w:p>
      <w:pPr>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jc w:val="both"/>
      </w:pPr>
      <w:r>
        <w:rPr>
          <w:rFonts w:ascii="Times New Roman" w:hAnsi="Times New Roman"/>
          <w:b/>
          <w:sz w:val="24"/>
        </w:rPr>
        <w:t>5. MARKET SIZE &amp; ANALYSIS</w:t>
      </w:r>
    </w:p>
    <w:p>
      <w:pPr>
        <w:jc w:val="both"/>
      </w:pPr>
      <w:r>
        <w:rPr>
          <w:rFonts w:ascii="Times New Roman" w:hAnsi="Times New Roman"/>
          <w:sz w:val="24"/>
        </w:rPr>
        <w:t>TAM: $120000.0M (Source: StoreDot April 2023 Corporate Overview)</w:t>
      </w:r>
    </w:p>
    <w:p>
      <w:pPr>
        <w:jc w:val="both"/>
      </w:pPr>
      <w:r>
        <w:rPr>
          <w:rFonts w:ascii="Times New Roman" w:hAnsi="Times New Roman"/>
          <w:sz w:val="24"/>
        </w:rPr>
        <w:t>SAM: $35000.0M (Source: StoreDot April 2023 Corporate Overview)</w:t>
      </w:r>
    </w:p>
    <w:p>
      <w:pPr>
        <w:jc w:val="both"/>
      </w:pPr>
      <w:r>
        <w:rPr>
          <w:rFonts w:ascii="Times New Roman" w:hAnsi="Times New Roman"/>
          <w:sz w:val="24"/>
        </w:rPr>
        <w:t>SOM: $5000.0M (Source: StoreDot April 2023 Corporate Overview)</w:t>
      </w:r>
    </w:p>
    <w:p>
      <w:pPr>
        <w:jc w:val="both"/>
      </w:pPr>
      <w:r>
        <w:rPr>
          <w:rFonts w:ascii="Times New Roman" w:hAnsi="Times New Roman"/>
          <w:sz w:val="24"/>
        </w:rPr>
        <w:t>Market Penetration Potential: 4.2%</w:t>
      </w:r>
    </w:p>
    <w:p>
      <w:pPr>
        <w:jc w:val="both"/>
      </w:pPr>
      <w:r>
        <w:rPr>
          <w:rFonts w:ascii="Times New Roman" w:hAnsi="Times New Roman"/>
          <w:sz w:val="24"/>
        </w:rPr>
        <w:t>Battery Technology</w:t>
      </w:r>
    </w:p>
    <w:p>
      <w:pPr>
        <w:jc w:val="both"/>
      </w:pPr>
      <w:r>
        <w:rPr>
          <w:rFonts w:ascii="Times New Roman" w:hAnsi="Times New Roman"/>
          <w:sz w:val="24"/>
        </w:rPr>
        <w:t>--- Extracted Tables ---</w:t>
      </w:r>
    </w:p>
    <w:p>
      <w:pPr>
        <w:jc w:val="both"/>
      </w:pPr>
      <w:r>
        <w:rPr>
          <w:rFonts w:ascii="Times New Roman" w:hAnsi="Times New Roman"/>
          <w:sz w:val="24"/>
        </w:rPr>
        <w:t>No tables extracted.</w:t>
      </w:r>
    </w:p>
    <w:p>
      <w:pPr>
        <w:jc w:val="both"/>
      </w:pPr>
      <w:r>
        <w:rPr>
          <w:rFonts w:ascii="Times New Roman" w:hAnsi="Times New Roman"/>
          <w:sz w:val="24"/>
        </w:rPr>
        <w:t>6. COMPETITIVE LANDSCAPE (with identified competitors)</w:t>
      </w:r>
    </w:p>
    <w:p>
      <w:pPr>
        <w:jc w:val="both"/>
      </w:pPr>
      <w:r>
        <w:rPr>
          <w:rFonts w:ascii="Times New Roman" w:hAnsi="Times New Roman"/>
          <w:sz w:val="24"/>
        </w:rPr>
        <w:t>QuantumScape: Focuses on solid-state lithium-metal batteries promising higher energy density and faster charging.</w:t>
      </w:r>
    </w:p>
    <w:p>
      <w:pPr>
        <w:jc w:val="both"/>
      </w:pPr>
      <w:r>
        <w:rPr>
          <w:rFonts w:ascii="Times New Roman" w:hAnsi="Times New Roman"/>
          <w:sz w:val="24"/>
        </w:rPr>
        <w:t>Sila Nanotechnologies: Develops silicon-dominant anode materials to improve lithium-ion battery energy density and lifespan.</w:t>
      </w:r>
    </w:p>
    <w:p>
      <w:pPr>
        <w:jc w:val="both"/>
      </w:pPr>
      <w:r>
        <w:rPr>
          <w:rFonts w:ascii="Times New Roman" w:hAnsi="Times New Roman"/>
          <w:sz w:val="24"/>
        </w:rPr>
        <w:t>Solid Power: Specializes in all-solid-state battery technology targeting automotive applications with enhanced safety and performance.</w:t>
      </w:r>
    </w:p>
    <w:p>
      <w:pPr>
        <w:jc w:val="both"/>
      </w:pPr>
      <w:r>
        <w:rPr>
          <w:rFonts w:ascii="Times New Roman" w:hAnsi="Times New Roman"/>
          <w:b/>
          <w:sz w:val="24"/>
        </w:rPr>
        <w:t>7. BUSINESS MODEL</w:t>
      </w:r>
    </w:p>
    <w:p>
      <w:pPr>
        <w:jc w:val="both"/>
      </w:pPr>
      <w:r>
        <w:rPr>
          <w:rFonts w:ascii="Times New Roman" w:hAnsi="Times New Roman"/>
          <w:sz w:val="24"/>
        </w:rPr>
        <w:t>StoreDot is developing extreme fast charging (XFC) battery technology aimed at accelerating electric vehicle (EV) mass adoption by drastically reducing charging times to about 10 minutes for 100 miles of range. Their business model centers on licensing their silicon-dominant anode lithium-ion battery technology, which is compatible with existing Li-ion manufacturing lines, enabling scalable and cost-effective integration with OEMs and battery manufacturers. Key customer segments include EV original equipment manufacturers (OEMs) and battery producers seeking to overcome charging speed limitations and "charging anxiety" among drivers. StoreDot’s go-to-market strategy involves ongoing testing and partnerships with over 15 OEMs and manufacturing partners, targeting commercial readiness by 2025. The technology’s scalability and compatibility with current production infrastructure position StoreDot well for rapid adoption, especially as EV penetration is expected to exceed 60% of new vehicle sales by 2030. No recent pivots were noted, but the company emphasizes a clear product roadmap extending to semi-solid and post-lithium batteries by 2028 and 2032 respectively. (Sources: StoreDot April 2023 corporate overview; UBS EV battery market data)</w:t>
      </w:r>
    </w:p>
    <w:p>
      <w:pPr>
        <w:jc w:val="both"/>
      </w:pPr>
      <w:r>
        <w:rPr>
          <w:rFonts w:ascii="Times New Roman" w:hAnsi="Times New Roman"/>
          <w:b/>
          <w:sz w:val="24"/>
        </w:rPr>
        <w:t>8. TECHNICAL DUE DILIGENCE</w:t>
      </w:r>
    </w:p>
    <w:p>
      <w:pPr>
        <w:jc w:val="both"/>
      </w:pPr>
      <w:r>
        <w:rPr>
          <w:rFonts w:ascii="Times New Roman" w:hAnsi="Times New Roman"/>
          <w:sz w:val="24"/>
        </w:rPr>
        <w:t>Maturity Level: beta</w:t>
      </w:r>
    </w:p>
    <w:p>
      <w:pPr>
        <w:jc w:val="both"/>
      </w:pPr>
      <w:r>
        <w:rPr>
          <w:rFonts w:ascii="Times New Roman" w:hAnsi="Times New Roman"/>
          <w:sz w:val="24"/>
        </w:rPr>
        <w:t>Technical Moat: Leading extreme fast charging technology with proven scalability and cost structure</w:t>
      </w:r>
    </w:p>
    <w:p>
      <w:pPr>
        <w:jc w:val="both"/>
      </w:pPr>
      <w:r>
        <w:rPr>
          <w:rFonts w:ascii="Times New Roman" w:hAnsi="Times New Roman"/>
          <w:sz w:val="24"/>
        </w:rPr>
        <w:t>Tech Stack: N/A</w:t>
      </w:r>
    </w:p>
    <w:p>
      <w:pPr>
        <w:jc w:val="both"/>
      </w:pPr>
      <w:r>
        <w:rPr>
          <w:rFonts w:ascii="Times New Roman" w:hAnsi="Times New Roman"/>
          <w:sz w:val="24"/>
        </w:rPr>
        <w:t>Scalability:</w:t>
      </w:r>
    </w:p>
    <w:p>
      <w:pPr>
        <w:jc w:val="both"/>
      </w:pPr>
      <w:r>
        <w:rPr>
          <w:rFonts w:ascii="Times New Roman" w:hAnsi="Times New Roman"/>
          <w:sz w:val="24"/>
        </w:rPr>
        <w:t>Security:</w:t>
      </w:r>
    </w:p>
    <w:p>
      <w:pPr>
        <w:jc w:val="both"/>
      </w:pPr>
      <w:r>
        <w:rPr>
          <w:rFonts w:ascii="Times New Roman" w:hAnsi="Times New Roman"/>
          <w:b/>
          <w:sz w:val="24"/>
        </w:rPr>
        <w:t>9. PRODUCT DESCRIPTION</w:t>
      </w:r>
    </w:p>
    <w:p>
      <w:pPr>
        <w:jc w:val="both"/>
      </w:pPr>
      <w:r>
        <w:rPr>
          <w:rFonts w:ascii="Times New Roman" w:hAnsi="Times New Roman"/>
          <w:sz w:val="24"/>
        </w:rPr>
        <w:t>Leading extreme fast charging technology with proven scalability and cost structure</w:t>
      </w:r>
    </w:p>
    <w:p>
      <w:pPr>
        <w:jc w:val="both"/>
      </w:pPr>
      <w:r>
        <w:rPr>
          <w:rFonts w:ascii="Times New Roman" w:hAnsi="Times New Roman"/>
          <w:sz w:val="24"/>
        </w:rPr>
        <w:t>10. FINANCIAL ANALYSIS (with commentary on data availability)</w:t>
      </w:r>
    </w:p>
    <w:p>
      <w:pPr>
        <w:jc w:val="both"/>
      </w:pPr>
      <w:r>
        <w:rPr>
          <w:rFonts w:ascii="Times New Roman" w:hAnsi="Times New Roman"/>
          <w:sz w:val="24"/>
        </w:rPr>
        <w:t>Implied Valuation: $N/AM</w:t>
      </w:r>
    </w:p>
    <w:p>
      <w:pPr>
        <w:jc w:val="both"/>
      </w:pPr>
      <w:r>
        <w:rPr>
          <w:rFonts w:ascii="Times New Roman" w:hAnsi="Times New Roman"/>
          <w:sz w:val="24"/>
        </w:rPr>
        <w:t>Cash Burn (12 months): $N/AM</w:t>
      </w:r>
    </w:p>
    <w:p>
      <w:pPr>
        <w:jc w:val="both"/>
      </w:pPr>
      <w:r>
        <w:rPr>
          <w:rFonts w:ascii="Times New Roman" w:hAnsi="Times New Roman"/>
          <w:sz w:val="24"/>
        </w:rPr>
        <w:t>Runway: 0 months</w:t>
      </w:r>
    </w:p>
    <w:p>
      <w:pPr>
        <w:jc w:val="both"/>
      </w:pPr>
      <w:r>
        <w:rPr>
          <w:rFonts w:ascii="Times New Roman" w:hAnsi="Times New Roman"/>
          <w:sz w:val="24"/>
        </w:rPr>
        <w:t>Valuation Multiple: 0.0</w:t>
      </w:r>
    </w:p>
    <w:p>
      <w:pPr>
        <w:jc w:val="both"/>
      </w:pPr>
      <w:r>
        <w:rPr>
          <w:rFonts w:ascii="Times New Roman" w:hAnsi="Times New Roman"/>
          <w:sz w:val="24"/>
        </w:rPr>
        <w:t>Financial data is unavailable.</w:t>
      </w:r>
    </w:p>
    <w:p>
      <w:pPr>
        <w:jc w:val="both"/>
      </w:pPr>
      <w:r>
        <w:rPr>
          <w:rFonts w:ascii="Times New Roman" w:hAnsi="Times New Roman"/>
          <w:sz w:val="24"/>
        </w:rPr>
        <w:t>--- Extracted Tables (Financial) ---</w:t>
      </w:r>
    </w:p>
    <w:p>
      <w:pPr>
        <w:jc w:val="both"/>
      </w:pPr>
      <w:r>
        <w:rPr>
          <w:rFonts w:ascii="Times New Roman" w:hAnsi="Times New Roman"/>
          <w:b/>
          <w:sz w:val="24"/>
        </w:rPr>
        <w:t>11. TEAM &amp; MANAGEMENT</w:t>
      </w:r>
    </w:p>
    <w:p>
      <w:pPr>
        <w:jc w:val="both"/>
      </w:pPr>
      <w:r>
        <w:rPr>
          <w:rFonts w:ascii="Times New Roman" w:hAnsi="Times New Roman"/>
          <w:sz w:val="24"/>
        </w:rPr>
        <w:t>Founder: Doron Myersdorf</w:t>
      </w:r>
    </w:p>
    <w:p>
      <w:pPr>
        <w:jc w:val="both"/>
      </w:pPr>
      <w:r>
        <w:rPr>
          <w:rFonts w:ascii="Times New Roman" w:hAnsi="Times New Roman"/>
          <w:sz w:val="24"/>
        </w:rPr>
        <w:t>Founder Fit Score: 0.8 / 1.0</w:t>
      </w:r>
    </w:p>
    <w:p>
      <w:pPr>
        <w:jc w:val="both"/>
      </w:pPr>
      <w:r>
        <w:rPr>
          <w:rFonts w:ascii="Times New Roman" w:hAnsi="Times New Roman"/>
          <w:sz w:val="24"/>
        </w:rPr>
        <w:t>Prior Exits: 2</w:t>
      </w:r>
    </w:p>
    <w:p>
      <w:pPr>
        <w:jc w:val="both"/>
      </w:pPr>
      <w:r>
        <w:rPr>
          <w:rFonts w:ascii="Times New Roman" w:hAnsi="Times New Roman"/>
          <w:sz w:val="24"/>
        </w:rPr>
        <w:t>Sector Experience: Battery Technology</w:t>
      </w:r>
    </w:p>
    <w:p>
      <w:pPr>
        <w:jc w:val="both"/>
      </w:pPr>
      <w:r>
        <w:rPr>
          <w:rFonts w:ascii="Times New Roman" w:hAnsi="Times New Roman"/>
          <w:b/>
          <w:sz w:val="24"/>
        </w:rPr>
        <w:t>12. ESG CONSIDERATIONS</w:t>
      </w:r>
    </w:p>
    <w:p>
      <w:pPr>
        <w:jc w:val="both"/>
      </w:pPr>
      <w:r>
        <w:rPr>
          <w:rFonts w:ascii="Times New Roman" w:hAnsi="Times New Roman"/>
          <w:sz w:val="24"/>
        </w:rPr>
        <w:t>StoreDot is an advanced battery technology startup focused on enabling extreme fast charging (XFC) for electric vehicles (EVs), aiming to overcome key barriers like charging time and infrastructure limitations that hinder EV mass adoption. Their technology promises charging speeds of 100 miles in 5 minutes with over 1200 fast charge cycles without degradation, using scalable, lithium-ion compatible manufacturing processes that reduce cobalt content, supporting sustainability goals. Socially, StoreDot addresses "charging anxiety," improving EV user experience and accelerating the shift to cleaner transportation, which aligns with global decarbonization efforts and regulatory trends in the US, EU, and China targeting &gt;60% BEV sales by 2030. Governance appears strong with an experienced leadership team and advisory board from automotive and battery sectors, though no specific ESG controversies or recent news were found. Missing data includes detailed disclosures on environmental impact metrics, supply chain labor practices, and formal ESG policies.</w:t>
      </w:r>
    </w:p>
    <w:p>
      <w:pPr>
        <w:jc w:val="both"/>
      </w:pPr>
      <w:r>
        <w:rPr>
          <w:rFonts w:ascii="Times New Roman" w:hAnsi="Times New Roman"/>
          <w:b/>
          <w:sz w:val="24"/>
        </w:rPr>
        <w:t>13. RISKS &amp; MITIGATIONS</w:t>
      </w:r>
    </w:p>
    <w:p>
      <w:pPr>
        <w:jc w:val="both"/>
      </w:pPr>
      <w:r>
        <w:rPr>
          <w:rFonts w:ascii="Times New Roman" w:hAnsi="Times New Roman"/>
          <w:sz w:val="24"/>
        </w:rPr>
        <w:t>Overall Risk Level: HIGH</w:t>
      </w:r>
    </w:p>
    <w:p>
      <w:pPr>
        <w:jc w:val="both"/>
      </w:pPr>
      <w:r>
        <w:rPr>
          <w:rFonts w:ascii="Times New Roman" w:hAnsi="Times New Roman"/>
          <w:sz w:val="24"/>
        </w:rPr>
        <w:t>Risk Score: N/A / 1.0</w:t>
      </w:r>
    </w:p>
    <w:p>
      <w:pPr>
        <w:jc w:val="both"/>
      </w:pPr>
      <w:r>
        <w:rPr>
          <w:rFonts w:ascii="Times New Roman" w:hAnsi="Times New Roman"/>
          <w:sz w:val="24"/>
        </w:rPr>
        <w:t>IDENTIFIED RISKS:</w:t>
      </w:r>
    </w:p>
    <w:p>
      <w:pPr>
        <w:jc w:val="both"/>
      </w:pPr>
      <w:r>
        <w:rPr>
          <w:rFonts w:ascii="Times New Roman" w:hAnsi="Times New Roman"/>
          <w:sz w:val="24"/>
        </w:rPr>
        <w:t>1. Tech maturity beta</w:t>
      </w:r>
    </w:p>
    <w:p>
      <w:pPr>
        <w:jc w:val="both"/>
      </w:pPr>
      <w:r>
        <w:rPr>
          <w:rFonts w:ascii="Times New Roman" w:hAnsi="Times New Roman"/>
          <w:sz w:val="24"/>
        </w:rPr>
        <w:t>2. Limited financial data</w:t>
      </w:r>
    </w:p>
    <w:p>
      <w:pPr>
        <w:jc w:val="both"/>
      </w:pPr>
      <w:r>
        <w:rPr>
          <w:rFonts w:ascii="Times New Roman" w:hAnsi="Times New Roman"/>
          <w:sz w:val="24"/>
        </w:rPr>
        <w:t>3. Unknown runway and valuation</w:t>
      </w:r>
    </w:p>
    <w:p>
      <w:pPr>
        <w:jc w:val="both"/>
      </w:pPr>
      <w:r>
        <w:rPr>
          <w:rFonts w:ascii="Times New Roman" w:hAnsi="Times New Roman"/>
          <w:b/>
          <w:sz w:val="24"/>
        </w:rPr>
        <w:t>14. INVESTMENT &amp; EXIT STRATEGIES</w:t>
      </w:r>
    </w:p>
    <w:p>
      <w:pPr>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a major EV manufacturer looking to enhance their charging capabilities, or an IPO if StoreDot continues to lead in the market. Recommended exit strategies could involve strategic partnerships with key players in the EV industry to accelerate growth and increase valuation. However, more data on financials, market traction, and potential acquirers would be needed for a more detailed analysis.</w:t>
      </w:r>
    </w:p>
    <w:p>
      <w:pPr>
        <w:jc w:val="both"/>
      </w:pPr>
      <w:r>
        <w:rPr>
          <w:rFonts w:ascii="Times New Roman" w:hAnsi="Times New Roman"/>
          <w:sz w:val="24"/>
        </w:rPr>
        <w:t>15. FOLLOW-UP QUESTIONS &amp; NEXT STEPS</w:t>
      </w:r>
    </w:p>
    <w:p>
      <w:pPr>
        <w:jc w:val="both"/>
      </w:pPr>
      <w:r>
        <w:rPr>
          <w:rFonts w:ascii="Times New Roman" w:hAnsi="Times New Roman"/>
          <w:sz w:val="24"/>
        </w:rPr>
        <w:t>- **Technology Validation &amp; IP**</w:t>
      </w:r>
    </w:p>
    <w:p>
      <w:pPr>
        <w:jc w:val="both"/>
      </w:pPr>
      <w:r>
        <w:rPr>
          <w:rFonts w:ascii="Times New Roman" w:hAnsi="Times New Roman"/>
          <w:sz w:val="24"/>
        </w:rPr>
        <w:t>- Request detailed third-party test reports validating the 10-minute charging claim and &gt;1200 cycle life without degradation.</w:t>
      </w:r>
    </w:p>
    <w:p>
      <w:pPr>
        <w:jc w:val="both"/>
      </w:pPr>
      <w:r>
        <w:rPr>
          <w:rFonts w:ascii="Times New Roman" w:hAnsi="Times New Roman"/>
          <w:sz w:val="24"/>
        </w:rPr>
        <w:t>- Clarify the scope and strength of the 78 granted and 22 pending patents—are there any freedom-to-operate risks or potential infringement issues?</w:t>
      </w:r>
    </w:p>
    <w:p>
      <w:pPr>
        <w:jc w:val="both"/>
      </w:pPr>
      <w:r>
        <w:rPr>
          <w:rFonts w:ascii="Times New Roman" w:hAnsi="Times New Roman"/>
          <w:sz w:val="24"/>
        </w:rPr>
        <w:t>- Obtain data on performance consistency across different cell form factors and real-world conditions.</w:t>
      </w:r>
    </w:p>
    <w:p>
      <w:pPr>
        <w:jc w:val="both"/>
      </w:pPr>
      <w:r>
        <w:rPr>
          <w:rFonts w:ascii="Times New Roman" w:hAnsi="Times New Roman"/>
          <w:sz w:val="24"/>
        </w:rPr>
        <w:t>- **OEM &amp; Manufacturing Partnerships**</w:t>
      </w:r>
    </w:p>
    <w:p>
      <w:pPr>
        <w:jc w:val="both"/>
      </w:pPr>
      <w:r>
        <w:rPr>
          <w:rFonts w:ascii="Times New Roman" w:hAnsi="Times New Roman"/>
          <w:sz w:val="24"/>
        </w:rPr>
        <w:t>- Identify the &gt;15 OEMs and manufacturing partners currently testing the 100in5 cells; what are the terms and exclusivity of these engagements?</w:t>
      </w:r>
    </w:p>
    <w:p>
      <w:pPr>
        <w:jc w:val="both"/>
      </w:pPr>
      <w:r>
        <w:rPr>
          <w:rFonts w:ascii="Times New Roman" w:hAnsi="Times New Roman"/>
          <w:sz w:val="24"/>
        </w:rPr>
        <w:t>- Confirm timelines and milestones for commercial readiness in 2025 and production readiness in 2024—any risks or dependencies?</w:t>
      </w:r>
    </w:p>
    <w:p>
      <w:pPr>
        <w:jc w:val="both"/>
      </w:pPr>
      <w:r>
        <w:rPr>
          <w:rFonts w:ascii="Times New Roman" w:hAnsi="Times New Roman"/>
          <w:sz w:val="24"/>
        </w:rPr>
        <w:t>- Assess the scale-up plan and capacity commitments from manufacturing partners; what is the expected production volume ramp?</w:t>
      </w:r>
    </w:p>
    <w:p>
      <w:pPr>
        <w:jc w:val="both"/>
      </w:pPr>
      <w:r>
        <w:rPr>
          <w:rFonts w:ascii="Times New Roman" w:hAnsi="Times New Roman"/>
          <w:sz w:val="24"/>
        </w:rPr>
        <w:t>- **Technology Differentiation &amp; Competitive Landscape**</w:t>
      </w:r>
    </w:p>
    <w:p>
      <w:pPr>
        <w:jc w:val="both"/>
      </w:pPr>
      <w:r>
        <w:rPr>
          <w:rFonts w:ascii="Times New Roman" w:hAnsi="Times New Roman"/>
          <w:sz w:val="24"/>
        </w:rPr>
        <w:t>- Request a detailed competitive analysis comparing StoreDot’s chemistry and cost structure vs. other emerging battery technologies (solid-state, semi-solid).</w:t>
      </w:r>
    </w:p>
    <w:p>
      <w:pPr>
        <w:jc w:val="both"/>
      </w:pPr>
      <w:r>
        <w:rPr>
          <w:rFonts w:ascii="Times New Roman" w:hAnsi="Times New Roman"/>
          <w:sz w:val="24"/>
        </w:rPr>
        <w:t>- Clarify how StoreDot’s technology addresses charging infrastructure and connector standardization challenges beyond battery chemistry.</w:t>
      </w:r>
    </w:p>
    <w:p>
      <w:pPr>
        <w:jc w:val="both"/>
      </w:pPr>
      <w:r>
        <w:rPr>
          <w:rFonts w:ascii="Times New Roman" w:hAnsi="Times New Roman"/>
          <w:sz w:val="24"/>
        </w:rPr>
        <w:t>- **Financials &amp; Business Model**</w:t>
      </w:r>
    </w:p>
    <w:p>
      <w:pPr>
        <w:jc w:val="both"/>
      </w:pPr>
      <w:r>
        <w:rPr>
          <w:rFonts w:ascii="Times New Roman" w:hAnsi="Times New Roman"/>
          <w:sz w:val="24"/>
        </w:rPr>
        <w:t>- Obtain detailed financial projections, including cost per kWh, gross margins, and licensing revenue assumptions.</w:t>
      </w:r>
    </w:p>
    <w:p>
      <w:pPr>
        <w:jc w:val="both"/>
      </w:pPr>
      <w:r>
        <w:rPr>
          <w:rFonts w:ascii="Times New Roman" w:hAnsi="Times New Roman"/>
          <w:sz w:val="24"/>
        </w:rPr>
        <w:t>- Understand the licensing model specifics—pricing, exclusivity, geographic scope, and expected royalty rates.</w:t>
      </w:r>
    </w:p>
    <w:p>
      <w:pPr>
        <w:jc w:val="both"/>
      </w:pPr>
      <w:r>
        <w:rPr>
          <w:rFonts w:ascii="Times New Roman" w:hAnsi="Times New Roman"/>
          <w:sz w:val="24"/>
        </w:rPr>
        <w:t>- Clarify capital expenditure requirements for scaling production and any planned fundraising rounds.</w:t>
      </w:r>
    </w:p>
    <w:p>
      <w:pPr>
        <w:jc w:val="both"/>
      </w:pPr>
      <w:r>
        <w:rPr>
          <w:rFonts w:ascii="Times New Roman" w:hAnsi="Times New Roman"/>
          <w:sz w:val="24"/>
        </w:rPr>
        <w:t>- **Regulatory &amp; Sustainability**</w:t>
      </w:r>
    </w:p>
    <w:p>
      <w:pPr>
        <w:jc w:val="both"/>
      </w:pPr>
      <w:r>
        <w:rPr>
          <w:rFonts w:ascii="Times New Roman" w:hAnsi="Times New Roman"/>
          <w:sz w:val="24"/>
        </w:rPr>
        <w:t>- Confirm compliance with relevant automotive and battery safety standards globally.</w:t>
      </w:r>
    </w:p>
    <w:p>
      <w:pPr>
        <w:jc w:val="both"/>
      </w:pPr>
      <w:r>
        <w:rPr>
          <w:rFonts w:ascii="Times New Roman" w:hAnsi="Times New Roman"/>
          <w:sz w:val="24"/>
        </w:rPr>
        <w:t>- Request more details on the sustainable production approach and cobalt reduction targets.</w:t>
      </w:r>
    </w:p>
    <w:p>
      <w:pPr>
        <w:jc w:val="both"/>
      </w:pPr>
      <w:r>
        <w:rPr>
          <w:rFonts w:ascii="Times New Roman" w:hAnsi="Times New Roman"/>
          <w:sz w:val="24"/>
        </w:rPr>
        <w:t>- **Team &amp; Execution Risk**</w:t>
      </w:r>
    </w:p>
    <w:p>
      <w:pPr>
        <w:jc w:val="both"/>
      </w:pPr>
      <w:r>
        <w:rPr>
          <w:rFonts w:ascii="Times New Roman" w:hAnsi="Times New Roman"/>
          <w:sz w:val="24"/>
        </w:rPr>
        <w:t>- Assess depth of R&amp;D and operations teams beyond leadership; any key hires planned to support scale?</w:t>
      </w:r>
    </w:p>
    <w:p>
      <w:pPr>
        <w:jc w:val="both"/>
      </w:pPr>
      <w:r>
        <w:rPr>
          <w:rFonts w:ascii="Times New Roman" w:hAnsi="Times New Roman"/>
          <w:sz w:val="24"/>
        </w:rPr>
        <w:t>- Understand potential execution risks, including supply chain dependencies for raw materials.</w:t>
      </w:r>
    </w:p>
    <w:p>
      <w:pPr>
        <w:jc w:val="both"/>
      </w:pPr>
      <w:r>
        <w:rPr>
          <w:rFonts w:ascii="Times New Roman" w:hAnsi="Times New Roman"/>
          <w:sz w:val="24"/>
        </w:rPr>
        <w:t>- **Next Steps**</w:t>
      </w:r>
    </w:p>
    <w:p>
      <w:pPr>
        <w:jc w:val="both"/>
      </w:pPr>
      <w:r>
        <w:rPr>
          <w:rFonts w:ascii="Times New Roman" w:hAnsi="Times New Roman"/>
          <w:sz w:val="24"/>
        </w:rPr>
        <w:t>- Schedule technical deep-dive with CTO and R&amp;D leads.</w:t>
      </w:r>
    </w:p>
    <w:p>
      <w:pPr>
        <w:jc w:val="both"/>
      </w:pPr>
      <w:r>
        <w:rPr>
          <w:rFonts w:ascii="Times New Roman" w:hAnsi="Times New Roman"/>
          <w:sz w:val="24"/>
        </w:rPr>
        <w:t>- Conduct reference checks with OEM partners.</w:t>
      </w:r>
    </w:p>
    <w:p>
      <w:pPr>
        <w:jc w:val="both"/>
      </w:pPr>
      <w:r>
        <w:rPr>
          <w:rFonts w:ascii="Times New Roman" w:hAnsi="Times New Roman"/>
          <w:sz w:val="24"/>
        </w:rPr>
        <w:t>- Engage independent battery experts for technology due diligence.</w:t>
      </w:r>
    </w:p>
    <w:p>
      <w:pPr>
        <w:jc w:val="both"/>
      </w:pPr>
      <w:r>
        <w:rPr>
          <w:rFonts w:ascii="Times New Roman" w:hAnsi="Times New Roman"/>
          <w:sz w:val="24"/>
        </w:rPr>
        <w:t>- Review detailed financial model and licensing agreements.</w:t>
      </w:r>
    </w:p>
    <w:p>
      <w:pPr>
        <w:jc w:val="both"/>
      </w:pPr>
      <w:r>
        <w:rPr>
          <w:rFonts w:ascii="Times New Roman" w:hAnsi="Times New Roman"/>
          <w:b/>
          <w:sz w:val="24"/>
        </w:rPr>
        <w:t>16. FIGURES &amp; VISUALS</w:t>
      </w:r>
    </w:p>
    <w:p>
      <w:pPr>
        <w:jc w:val="both"/>
      </w:pPr>
      <w:r>
        <w:rPr>
          <w:rFonts w:ascii="Times New Roman" w:hAnsi="Times New Roman"/>
          <w:sz w:val="24"/>
        </w:rPr>
        <w:t>No figures extracted.</w:t>
      </w:r>
    </w:p>
    <w:p>
      <w:pPr>
        <w:jc w:val="both"/>
      </w:pPr>
      <w:r>
        <w:rPr>
          <w:rFonts w:ascii="Times New Roman" w:hAnsi="Times New Roman"/>
          <w:sz w:val="24"/>
        </w:rPr>
        <w:t>17. APPENDIX: ADDITIONAL TABLES</w:t>
      </w:r>
    </w:p>
    <w:p>
      <w:pPr>
        <w:jc w:val="both"/>
      </w:pPr>
      <w:r>
        <w:rPr>
          <w:rFonts w:ascii="Times New Roman" w:hAnsi="Times New Roman"/>
          <w:b/>
          <w:sz w:val="24"/>
        </w:rPr>
        <w:t>18. DISCUSSION &amp; ANALYST COMMENTARY</w:t>
      </w:r>
    </w:p>
    <w:p>
      <w:pPr>
        <w:jc w:val="both"/>
      </w:pPr>
      <w:r>
        <w:rPr>
          <w:rFonts w:ascii="Times New Roman" w:hAnsi="Times New Roman"/>
          <w:sz w:val="24"/>
        </w:rPr>
        <w:t>**Analyst Commentary on StoreDot Investment Memo**</w:t>
      </w:r>
    </w:p>
    <w:p>
      <w:pPr>
        <w:jc w:val="both"/>
      </w:pPr>
      <w:r>
        <w:rPr>
          <w:rFonts w:ascii="Times New Roman" w:hAnsi="Times New Roman"/>
          <w:sz w:val="24"/>
        </w:rPr>
        <w:t>---</w:t>
      </w:r>
    </w:p>
    <w:p>
      <w:pPr>
        <w:jc w:val="both"/>
      </w:pPr>
      <w:r>
        <w:rPr>
          <w:rFonts w:ascii="Times New Roman" w:hAnsi="Times New Roman"/>
          <w:sz w:val="24"/>
        </w:rPr>
        <w:t>### Key Strengths</w:t>
      </w:r>
    </w:p>
    <w:p>
      <w:pPr>
        <w:jc w:val="both"/>
      </w:pPr>
      <w:r>
        <w:rPr>
          <w:rFonts w:ascii="Times New Roman" w:hAnsi="Times New Roman"/>
          <w:sz w:val="24"/>
        </w:rPr>
        <w:t>- **Technology Differentiation:** StoreDot’s silicon-dominant anode lithium-ion battery enabling 100 miles in 5-10 minutes charging is a significant breakthrough addressing a critical EV adoption barrier—charging time. Compatibility with existing Li-ion manufacturing lines enhances scalability and lowers integration friction.</w:t>
      </w:r>
    </w:p>
    <w:p>
      <w:pPr>
        <w:jc w:val="both"/>
      </w:pPr>
      <w:r>
        <w:rPr>
          <w:rFonts w:ascii="Times New Roman" w:hAnsi="Times New Roman"/>
          <w:sz w:val="24"/>
        </w:rPr>
        <w:t>- **Strong IP Position:** 78 granted US patents and 22 pending patents provide a defensible moat in a highly competitive battery tech landscape.</w:t>
      </w:r>
    </w:p>
    <w:p>
      <w:pPr>
        <w:jc w:val="both"/>
      </w:pPr>
      <w:r>
        <w:rPr>
          <w:rFonts w:ascii="Times New Roman" w:hAnsi="Times New Roman"/>
          <w:sz w:val="24"/>
        </w:rPr>
        <w:t>- **Robust Industry Partnerships:** Engagements with over 15 OEMs and manufacturing partners indicate strong market interest and validation potential, critical for commercial adoption.</w:t>
      </w:r>
    </w:p>
    <w:p>
      <w:pPr>
        <w:jc w:val="both"/>
      </w:pPr>
      <w:r>
        <w:rPr>
          <w:rFonts w:ascii="Times New Roman" w:hAnsi="Times New Roman"/>
          <w:sz w:val="24"/>
        </w:rPr>
        <w:t>- **Clear Market Opportunity:** The EV battery market is large and growing (TAM $120B), with StoreDot targeting a meaningful slice ($5B SOM). The technology aligns well with regulatory trends pushing &gt;60% BEV sales by 2030.</w:t>
      </w:r>
    </w:p>
    <w:p>
      <w:pPr>
        <w:jc w:val="both"/>
      </w:pPr>
      <w:r>
        <w:rPr>
          <w:rFonts w:ascii="Times New Roman" w:hAnsi="Times New Roman"/>
          <w:sz w:val="24"/>
        </w:rPr>
        <w:t>- **Experienced Founder:** Doron Myersdorf’s prior exits and sector experience add credibility to execution capability.</w:t>
      </w:r>
    </w:p>
    <w:p>
      <w:pPr>
        <w:jc w:val="both"/>
      </w:pPr>
      <w:r>
        <w:rPr>
          <w:rFonts w:ascii="Times New Roman" w:hAnsi="Times New Roman"/>
          <w:sz w:val="24"/>
        </w:rPr>
        <w:t>- **ESG Alignment:** Reduced cobalt content and extended cycle life support sustainability goals, enhancing appeal to ESG-conscious investors and customers.</w:t>
      </w:r>
    </w:p>
    <w:p>
      <w:pPr>
        <w:jc w:val="both"/>
      </w:pPr>
      <w:r>
        <w:rPr>
          <w:rFonts w:ascii="Times New Roman" w:hAnsi="Times New Roman"/>
          <w:sz w:val="24"/>
        </w:rPr>
        <w:t>### Key Weaknesses</w:t>
      </w:r>
    </w:p>
    <w:p>
      <w:pPr>
        <w:jc w:val="both"/>
      </w:pPr>
      <w:r>
        <w:rPr>
          <w:rFonts w:ascii="Times New Roman" w:hAnsi="Times New Roman"/>
          <w:sz w:val="24"/>
        </w:rPr>
        <w:t>- **Technical Maturity:** Technology is currently at beta stage, with no publicly available third-party validation of performance claims (charging speed, cycle life). This raises execution and technical risk.</w:t>
      </w:r>
    </w:p>
    <w:p>
      <w:pPr>
        <w:jc w:val="both"/>
      </w:pPr>
      <w:r>
        <w:rPr>
          <w:rFonts w:ascii="Times New Roman" w:hAnsi="Times New Roman"/>
          <w:sz w:val="24"/>
        </w:rPr>
        <w:t>- **Lack of Financial Transparency:** No financial data, valuation, or runway information severely limits investment decision-making and risk assessment.</w:t>
      </w:r>
    </w:p>
    <w:p>
      <w:pPr>
        <w:jc w:val="both"/>
      </w:pPr>
      <w:r>
        <w:rPr>
          <w:rFonts w:ascii="Times New Roman" w:hAnsi="Times New Roman"/>
          <w:sz w:val="24"/>
        </w:rPr>
        <w:t>- **Unclear Business Model Details:** Licensing terms, pricing, exclusivity, and revenue projections are not disclosed, making it difficult to assess commercial viability and margin potential.</w:t>
      </w:r>
    </w:p>
    <w:p>
      <w:pPr>
        <w:jc w:val="both"/>
      </w:pPr>
      <w:r>
        <w:rPr>
          <w:rFonts w:ascii="Times New Roman" w:hAnsi="Times New Roman"/>
          <w:sz w:val="24"/>
        </w:rPr>
        <w:t>- **Limited Team Information:** Beyond the founder, little is known about the depth of the R&amp;D, operations, and commercial teams, which are critical for scaling.</w:t>
      </w:r>
    </w:p>
    <w:p>
      <w:pPr>
        <w:jc w:val="both"/>
      </w:pPr>
      <w:r>
        <w:rPr>
          <w:rFonts w:ascii="Times New Roman" w:hAnsi="Times New Roman"/>
          <w:sz w:val="24"/>
        </w:rPr>
        <w:t>- **Potential Competitive Pressure:** Competitors like QuantumScape and Sila Nanotechnologies are also advancing fast-charging and silicon-anode tech, possibly with more mature or differentiated solutions.</w:t>
      </w:r>
    </w:p>
    <w:p>
      <w:pPr>
        <w:jc w:val="both"/>
      </w:pPr>
      <w:r>
        <w:rPr>
          <w:rFonts w:ascii="Times New Roman" w:hAnsi="Times New Roman"/>
          <w:sz w:val="24"/>
        </w:rPr>
        <w:t>### Opportunities</w:t>
      </w:r>
    </w:p>
    <w:p>
      <w:pPr>
        <w:jc w:val="both"/>
      </w:pPr>
      <w:r>
        <w:rPr>
          <w:rFonts w:ascii="Times New Roman" w:hAnsi="Times New Roman"/>
          <w:sz w:val="24"/>
        </w:rPr>
        <w:t>- **Mass EV Adoption Catalyst:** If StoreDot delivers on its promise, it could become a key enabler for mainstream EV adoption by eliminating charging anxiety, unlocking a multi-billion-dollar licensing market.</w:t>
      </w:r>
    </w:p>
    <w:p>
      <w:pPr>
        <w:jc w:val="both"/>
      </w:pPr>
      <w:r>
        <w:rPr>
          <w:rFonts w:ascii="Times New Roman" w:hAnsi="Times New Roman"/>
          <w:sz w:val="24"/>
        </w:rPr>
        <w:t>- **Strategic Partnerships &amp; Exits:** Potential for acquisition by major OEMs or battery manufacturers seeking to integrate XFC tech, or a high-profile IPO if commercial milestones are met.</w:t>
      </w:r>
    </w:p>
    <w:p>
      <w:pPr>
        <w:jc w:val="both"/>
      </w:pPr>
      <w:r>
        <w:rPr>
          <w:rFonts w:ascii="Times New Roman" w:hAnsi="Times New Roman"/>
          <w:sz w:val="24"/>
        </w:rPr>
        <w:t>- **Technology Roadmap:** Plans to evolve into semi-solid and post-lithium batteries by 2028 and 2032 offer long-term growth and differentiation potential.</w:t>
      </w:r>
    </w:p>
    <w:p>
      <w:pPr>
        <w:jc w:val="both"/>
      </w:pPr>
      <w:r>
        <w:rPr>
          <w:rFonts w:ascii="Times New Roman" w:hAnsi="Times New Roman"/>
          <w:sz w:val="24"/>
        </w:rPr>
        <w:t>- **Sustainability Trends:** Increasing regulatory pressure to reduce cobalt and improve battery lifecycle aligns well with StoreDot’s technology and ESG narrative.</w:t>
      </w:r>
    </w:p>
    <w:p>
      <w:pPr>
        <w:jc w:val="both"/>
      </w:pPr>
      <w:r>
        <w:rPr>
          <w:rFonts w:ascii="Times New Roman" w:hAnsi="Times New Roman"/>
          <w:sz w:val="24"/>
        </w:rPr>
        <w:t>### Risks</w:t>
      </w:r>
    </w:p>
    <w:p>
      <w:pPr>
        <w:jc w:val="both"/>
      </w:pPr>
      <w:r>
        <w:rPr>
          <w:rFonts w:ascii="Times New Roman" w:hAnsi="Times New Roman"/>
          <w:sz w:val="24"/>
        </w:rPr>
        <w:t>- **Execution Risk:** Scaling from beta to commercial production by 2025 is aggressive; manufacturing scale-up, quality control, and supply chain constraints could delay timelines.</w:t>
      </w:r>
    </w:p>
    <w:p>
      <w:pPr>
        <w:jc w:val="both"/>
      </w:pPr>
      <w:r>
        <w:rPr>
          <w:rFonts w:ascii="Times New Roman" w:hAnsi="Times New Roman"/>
          <w:sz w:val="24"/>
        </w:rPr>
        <w:t>- **Technology Risk:** Real-world performance may not match lab results; degradation, safety, and compatibility issues could arise.</w:t>
      </w:r>
    </w:p>
    <w:p>
      <w:pPr>
        <w:jc w:val="both"/>
      </w:pPr>
      <w:r>
        <w:rPr>
          <w:rFonts w:ascii="Times New Roman" w:hAnsi="Times New Roman"/>
          <w:sz w:val="24"/>
        </w:rPr>
        <w:t>- **Market Adoption Risk:** OEMs may be reluctant to adopt new battery chemistries without extensive validation, especially given existing supplier relationships and infrastructure investments.</w:t>
      </w:r>
    </w:p>
    <w:p>
      <w:pPr>
        <w:jc w:val="both"/>
      </w:pPr>
      <w:r>
        <w:rPr>
          <w:rFonts w:ascii="Times New Roman" w:hAnsi="Times New Roman"/>
          <w:sz w:val="24"/>
        </w:rPr>
        <w:t>- **Financial Risk:** Unknown cash position and runway raise concerns about the company’s ability to fund scale-up and commercialization without immediate capital raises.</w:t>
      </w:r>
    </w:p>
    <w:p>
      <w:pPr>
        <w:jc w:val="both"/>
      </w:pPr>
      <w:r>
        <w:rPr>
          <w:rFonts w:ascii="Times New Roman" w:hAnsi="Times New Roman"/>
          <w:sz w:val="24"/>
        </w:rPr>
        <w:t>- **Competitive Risk:** Rapid innovation in solid-state and alternative battery chemistries could render StoreDot’s technology less relevant or obsolete.</w:t>
      </w:r>
    </w:p>
    <w:p>
      <w:pPr>
        <w:jc w:val="both"/>
      </w:pPr>
      <w:r>
        <w:rPr>
          <w:rFonts w:ascii="Times New Roman" w:hAnsi="Times New Roman"/>
          <w:sz w:val="24"/>
        </w:rPr>
        <w:t>### Actionable Recommendations for Investors</w:t>
      </w:r>
    </w:p>
    <w:p>
      <w:pPr>
        <w:jc w:val="both"/>
      </w:pPr>
      <w:r>
        <w:rPr>
          <w:rFonts w:ascii="Times New Roman" w:hAnsi="Times New Roman"/>
          <w:sz w:val="24"/>
        </w:rPr>
        <w:t>1. **Demand Rigorous Technical Validation:** Insist on independent third-party test results confirming charging speed, cycle life, safety, and scalability claims before committing capital.</w:t>
      </w:r>
    </w:p>
    <w:p>
      <w:pPr>
        <w:jc w:val="both"/>
      </w:pPr>
      <w:r>
        <w:rPr>
          <w:rFonts w:ascii="Times New Roman" w:hAnsi="Times New Roman"/>
          <w:sz w:val="24"/>
        </w:rPr>
        <w:t>2. **Clarify Financials &amp; Business Model:** Obtain detailed financial projections, licensing terms, and capital requirements to assess valuation and funding needs.</w:t>
      </w:r>
    </w:p>
    <w:p>
      <w:pPr>
        <w:jc w:val="both"/>
      </w:pPr>
      <w:r>
        <w:rPr>
          <w:rFonts w:ascii="Times New Roman" w:hAnsi="Times New Roman"/>
          <w:sz w:val="24"/>
        </w:rPr>
        <w:t>3. **Conduct Deep Due Diligence on Partnerships:** Verify the identity, commitment level, and exclusivity of OEM and manufacturing partners to gauge commercial traction.</w:t>
      </w:r>
    </w:p>
    <w:p>
      <w:pPr>
        <w:jc w:val="both"/>
      </w:pPr>
      <w:r>
        <w:rPr>
          <w:rFonts w:ascii="Times New Roman" w:hAnsi="Times New Roman"/>
          <w:sz w:val="24"/>
        </w:rPr>
        <w:t>4. **Assess Competitive Positioning:** Commission a comparative technology and cost analysis versus key competitors to understand StoreDot’s sustainable advantage.</w:t>
      </w:r>
    </w:p>
    <w:p>
      <w:pPr>
        <w:jc w:val="both"/>
      </w:pPr>
      <w:r>
        <w:rPr>
          <w:rFonts w:ascii="Times New Roman" w:hAnsi="Times New Roman"/>
          <w:sz w:val="24"/>
        </w:rPr>
        <w:t>5. **Evaluate Team &amp; Execution Capability:** Review the broader management and technical team depth and hiring plans to mitigate execution risk.</w:t>
      </w:r>
    </w:p>
    <w:p>
      <w:pPr>
        <w:jc w:val="both"/>
      </w:pPr>
      <w:r>
        <w:rPr>
          <w:rFonts w:ascii="Times New Roman" w:hAnsi="Times New Roman"/>
          <w:sz w:val="24"/>
        </w:rPr>
        <w:t>6. **Monitor Regulatory &amp; ESG Compliance:** Ensure the company meets global automotive safety standards and has credible sustainability practices.</w:t>
      </w:r>
    </w:p>
    <w:p>
      <w:pPr>
        <w:jc w:val="both"/>
      </w:pPr>
      <w:r>
        <w:rPr>
          <w:rFonts w:ascii="Times New Roman" w:hAnsi="Times New Roman"/>
          <w:sz w:val="24"/>
        </w:rPr>
        <w:t>7. **Structure Investment with Milestone-Based Tranches:** Given high risk and early stage, structure funding rounds contingent on achieving technical and commercial milestones to protect downside.</w:t>
      </w:r>
    </w:p>
    <w:p>
      <w:pPr>
        <w:jc w:val="both"/>
      </w:pPr>
      <w:r>
        <w:rPr>
          <w:rFonts w:ascii="Times New Roman" w:hAnsi="Times New Roman"/>
          <w:sz w:val="24"/>
        </w:rPr>
        <w:t>### Summary</w:t>
      </w:r>
    </w:p>
    <w:p>
      <w:pPr>
        <w:jc w:val="both"/>
      </w:pPr>
      <w:r>
        <w:rPr>
          <w:rFonts w:ascii="Times New Roman" w:hAnsi="Times New Roman"/>
          <w:sz w:val="24"/>
        </w:rPr>
        <w:t>StoreDot presents a compelling technology solution to a critical EV adoption barrier with strong IP and promising partnerships. However, the lack of financial transparency, early technical maturity, and competitive pressures introduce significant risk. Investors should proceed cautiously, prioritizing technical validation and commercial traction before committing significant capital. The company’s success hinges on timely scale-up, OEM adoption, and maintaining technological leadership in a rapidly evolving battery landscape.</w:t>
      </w:r>
    </w:p>
    <w:p>
      <w:pPr>
        <w:jc w:val="both"/>
      </w:pPr>
      <w:r>
        <w:rPr>
          <w:rFonts w:ascii="Times New Roman" w:hAnsi="Times New Roman"/>
          <w:sz w:val="24"/>
        </w:rPr>
        <w:t>Generated by VC Analysis System on July 11, 2025</w:t>
      </w:r>
    </w:p>
    <w:p>
      <w:pPr>
        <w:jc w:val="both"/>
      </w:pPr>
      <w:r>
        <w:rPr>
          <w:rFonts w:ascii="Times New Roman" w:hAnsi="Times New Roman"/>
          <w:sz w:val="24"/>
        </w:rPr>
        <w:t>Data Sources: Company documents, market research, competitive intelligence, technical analysis</w:t>
      </w:r>
    </w:p>
    <w:p>
      <w:pPr>
        <w:jc w:val="both"/>
      </w:pPr>
      <w:r>
        <w:rPr>
          <w:rFonts w:ascii="Times New Roman" w:hAnsi="Times New Roman"/>
          <w:sz w:val="24"/>
        </w:rPr>
        <w:t>Analysis Framework: Multi-agent AI system with specialized domain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drawing>
        <wp:inline xmlns:a="http://schemas.openxmlformats.org/drawingml/2006/main" xmlns:pic="http://schemas.openxmlformats.org/drawingml/2006/picture">
          <wp:extent cx="1097280" cy="731520"/>
          <wp:docPr id="1" name="Picture 1"/>
          <wp:cNvGraphicFramePr>
            <a:graphicFrameLocks noChangeAspect="1"/>
          </wp:cNvGraphicFramePr>
          <a:graphic>
            <a:graphicData uri="http://schemas.openxmlformats.org/drawingml/2006/picture">
              <pic:pic>
                <pic:nvPicPr>
                  <pic:cNvPr id="0" name="uni_logo.jpg"/>
                  <pic:cNvPicPr/>
                </pic:nvPicPr>
                <pic:blipFill>
                  <a:blip r:embed="rId1"/>
                  <a:stretch>
                    <a:fillRect/>
                  </a:stretch>
                </pic:blipFill>
                <pic:spPr>
                  <a:xfrm>
                    <a:off x="0" y="0"/>
                    <a:ext cx="1097280" cy="731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