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999773"/>
            <wp:docPr id="1" name="Picture 1"/>
            <wp:cNvGraphicFramePr>
              <a:graphicFrameLocks noChangeAspect="1"/>
            </wp:cNvGraphicFramePr>
            <a:graphic>
              <a:graphicData uri="http://schemas.openxmlformats.org/drawingml/2006/picture">
                <pic:pic>
                  <pic:nvPicPr>
                    <pic:cNvPr id="0" name="front_page.jpg"/>
                    <pic:cNvPicPr/>
                  </pic:nvPicPr>
                  <pic:blipFill>
                    <a:blip r:embed="rId9"/>
                    <a:stretch>
                      <a:fillRect/>
                    </a:stretch>
                  </pic:blipFill>
                  <pic:spPr>
                    <a:xfrm>
                      <a:off x="0" y="0"/>
                      <a:ext cx="5943600" cy="1999773"/>
                    </a:xfrm>
                    <a:prstGeom prst="rect"/>
                  </pic:spPr>
                </pic:pic>
              </a:graphicData>
            </a:graphic>
          </wp:inline>
        </w:drawing>
      </w:r>
    </w:p>
    <w:p>
      <w:pPr>
        <w:jc w:val="center"/>
      </w:pPr>
    </w:p>
    <w:p>
      <w:pPr>
        <w:jc w:val="center"/>
      </w:pPr>
    </w:p>
    <w:p>
      <w:pPr>
        <w:jc w:val="center"/>
      </w:pPr>
    </w:p>
    <w:p>
      <w:pPr>
        <w:jc w:val="center"/>
      </w:pPr>
    </w:p>
    <w:p>
      <w:pPr>
        <w:jc w:val="cente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11, 2025 at 04:19 PM</w:t>
      </w:r>
    </w:p>
    <w:p>
      <w:r>
        <w:br w:type="page"/>
      </w:r>
    </w:p>
    <w:p>
      <w:pPr>
        <w:sectPr>
          <w:headerReference w:type="default" r:id="rId10"/>
          <w:pgSz w:w="12240" w:h="15840"/>
          <w:pgMar w:top="1440" w:right="1800" w:bottom="1440" w:left="1800" w:header="720" w:footer="720" w:gutter="0"/>
          <w:cols w:space="720"/>
          <w:docGrid w:linePitch="360"/>
        </w:sectPr>
      </w:pPr>
    </w:p>
    <w:p>
      <w:pPr>
        <w:jc w:val="both"/>
      </w:pPr>
      <w:r>
        <w:rPr>
          <w:rFonts w:ascii="Times New Roman" w:hAnsi="Times New Roman"/>
          <w:sz w:val="24"/>
        </w:rPr>
        <w:t>INVESTMENT MEMORANDUM – StoreDot</w:t>
      </w:r>
    </w:p>
    <w:p>
      <w:pPr>
        <w:jc w:val="both"/>
      </w:pPr>
      <w:r>
        <w:rPr>
          <w:rFonts w:ascii="Times New Roman" w:hAnsi="Times New Roman"/>
          <w:sz w:val="24"/>
        </w:rPr>
        <w:t>(Prepared July 11, 2025)</w:t>
      </w:r>
    </w:p>
    <w:p>
      <w:pPr>
        <w:jc w:val="both"/>
      </w:pPr>
      <w:r>
        <w:rPr>
          <w:rFonts w:ascii="Times New Roman" w:hAnsi="Times New Roman"/>
          <w:b/>
          <w:sz w:val="24"/>
        </w:rPr>
        <w:t>1. DETAILED SUMMARY</w:t>
      </w:r>
    </w:p>
    <w:p>
      <w:pPr>
        <w:jc w:val="both"/>
      </w:pPr>
      <w:r>
        <w:rPr>
          <w:rFonts w:ascii="Times New Roman" w:hAnsi="Times New Roman"/>
          <w:sz w:val="24"/>
        </w:rPr>
        <w:t>============================================================</w:t>
      </w:r>
    </w:p>
    <w:p>
      <w:pPr>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jc w:val="both"/>
      </w:pPr>
      <w:r>
        <w:rPr>
          <w:rFonts w:ascii="Times New Roman" w:hAnsi="Times New Roman"/>
          <w:sz w:val="24"/>
        </w:rPr>
        <w:t>2. COMPANY OVERVIEW (including team and website)</w:t>
      </w:r>
    </w:p>
    <w:p>
      <w:pPr>
        <w:jc w:val="both"/>
      </w:pPr>
      <w:r>
        <w:rPr>
          <w:rFonts w:ascii="Times New Roman" w:hAnsi="Times New Roman"/>
          <w:sz w:val="24"/>
        </w:rPr>
        <w:t>Company: StoreDot</w:t>
      </w:r>
    </w:p>
    <w:p>
      <w:pPr>
        <w:jc w:val="both"/>
      </w:pPr>
      <w:r>
        <w:rPr>
          <w:rFonts w:ascii="Times New Roman" w:hAnsi="Times New Roman"/>
          <w:sz w:val="24"/>
        </w:rPr>
        <w:t>Sector: Battery Technology</w:t>
      </w:r>
    </w:p>
    <w:p>
      <w:pPr>
        <w:jc w:val="both"/>
      </w:pPr>
      <w:r>
        <w:rPr>
          <w:rFonts w:ascii="Times New Roman" w:hAnsi="Times New Roman"/>
          <w:sz w:val="24"/>
        </w:rPr>
        <w:t>Website: The official website for the company named 'StoreDot' founded by 'Doron Myersdorf' in the sector 'Battery Technology' is https://storedot.com</w:t>
      </w:r>
    </w:p>
    <w:p>
      <w:pPr>
        <w:jc w:val="both"/>
      </w:pPr>
      <w:r>
        <w:rPr>
          <w:rFonts w:ascii="Times New Roman" w:hAnsi="Times New Roman"/>
          <w:sz w:val="24"/>
        </w:rPr>
        <w:t>Funding Stage: unknown</w:t>
      </w:r>
    </w:p>
    <w:p>
      <w:pPr>
        <w:jc w:val="both"/>
      </w:pPr>
      <w:r>
        <w:rPr>
          <w:rFonts w:ascii="Times New Roman" w:hAnsi="Times New Roman"/>
          <w:sz w:val="24"/>
        </w:rPr>
        <w:t>Team: Doron Myersdorf</w:t>
      </w:r>
    </w:p>
    <w:p>
      <w:pPr>
        <w:jc w:val="both"/>
      </w:pPr>
      <w:r>
        <w:rPr>
          <w:rFonts w:ascii="Times New Roman" w:hAnsi="Times New Roman"/>
          <w:b/>
          <w:sz w:val="24"/>
        </w:rPr>
        <w:t>3. PROBLEM STATEMENT</w:t>
      </w:r>
    </w:p>
    <w:p>
      <w:pPr>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jc w:val="both"/>
      </w:pPr>
      <w:r>
        <w:rPr>
          <w:rFonts w:ascii="Times New Roman" w:hAnsi="Times New Roman"/>
          <w:b/>
          <w:sz w:val="24"/>
        </w:rPr>
        <w:t>4. SOLUTION OVERVIEW</w:t>
      </w:r>
    </w:p>
    <w:p>
      <w:pPr>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jc w:val="both"/>
      </w:pPr>
      <w:r>
        <w:rPr>
          <w:rFonts w:ascii="Times New Roman" w:hAnsi="Times New Roman"/>
          <w:b/>
          <w:sz w:val="24"/>
        </w:rPr>
        <w:t>5. MARKET SIZE &amp; ANALYSIS</w:t>
      </w:r>
    </w:p>
    <w:p>
      <w:pPr>
        <w:jc w:val="both"/>
      </w:pPr>
      <w:r>
        <w:rPr>
          <w:rFonts w:ascii="Times New Roman" w:hAnsi="Times New Roman"/>
          <w:sz w:val="24"/>
        </w:rPr>
        <w:t>TAM: $120000.0M (Source: StoreDot April 2023 Corporate Overview)</w:t>
      </w:r>
    </w:p>
    <w:p>
      <w:pPr>
        <w:jc w:val="both"/>
      </w:pPr>
      <w:r>
        <w:rPr>
          <w:rFonts w:ascii="Times New Roman" w:hAnsi="Times New Roman"/>
          <w:sz w:val="24"/>
        </w:rPr>
        <w:t>SAM: $35000.0M (Source: StoreDot April 2023 Corporate Overview)</w:t>
      </w:r>
    </w:p>
    <w:p>
      <w:pPr>
        <w:jc w:val="both"/>
      </w:pPr>
      <w:r>
        <w:rPr>
          <w:rFonts w:ascii="Times New Roman" w:hAnsi="Times New Roman"/>
          <w:sz w:val="24"/>
        </w:rPr>
        <w:t>SOM: $5000.0M (Source: StoreDot April 2023 Corporate Overview)</w:t>
      </w:r>
    </w:p>
    <w:p>
      <w:pPr>
        <w:jc w:val="both"/>
      </w:pPr>
      <w:r>
        <w:rPr>
          <w:rFonts w:ascii="Times New Roman" w:hAnsi="Times New Roman"/>
          <w:sz w:val="24"/>
        </w:rPr>
        <w:t>Market Penetration Potential: 4.2%</w:t>
      </w:r>
    </w:p>
    <w:p>
      <w:pPr>
        <w:jc w:val="both"/>
      </w:pPr>
      <w:r>
        <w:rPr>
          <w:rFonts w:ascii="Times New Roman" w:hAnsi="Times New Roman"/>
          <w:sz w:val="24"/>
        </w:rPr>
        <w:t>Battery Technology</w:t>
      </w:r>
    </w:p>
    <w:p>
      <w:pPr>
        <w:jc w:val="both"/>
      </w:pPr>
      <w:r>
        <w:rPr>
          <w:rFonts w:ascii="Times New Roman" w:hAnsi="Times New Roman"/>
          <w:sz w:val="24"/>
        </w:rPr>
        <w:t>--- Extracted Tables ---</w:t>
      </w:r>
    </w:p>
    <w:p>
      <w:pPr>
        <w:jc w:val="both"/>
      </w:pPr>
      <w:r>
        <w:rPr>
          <w:rFonts w:ascii="Times New Roman" w:hAnsi="Times New Roman"/>
          <w:sz w:val="24"/>
        </w:rPr>
        <w:t>No tables extracted.</w:t>
      </w:r>
    </w:p>
    <w:p>
      <w:pPr>
        <w:jc w:val="both"/>
      </w:pPr>
      <w:r>
        <w:rPr>
          <w:rFonts w:ascii="Times New Roman" w:hAnsi="Times New Roman"/>
          <w:sz w:val="24"/>
        </w:rPr>
        <w:t>6. COMPETITIVE LANDSCAPE (with identified competitors)</w:t>
      </w:r>
    </w:p>
    <w:p>
      <w:pPr>
        <w:jc w:val="both"/>
      </w:pPr>
      <w:r>
        <w:rPr>
          <w:rFonts w:ascii="Times New Roman" w:hAnsi="Times New Roman"/>
          <w:sz w:val="24"/>
        </w:rPr>
        <w:t>QuantumScape: Focuses on solid-state lithium-metal batteries promising higher energy density and faster charging..</w:t>
      </w:r>
    </w:p>
    <w:p>
      <w:pPr>
        <w:jc w:val="both"/>
      </w:pPr>
      <w:r>
        <w:rPr>
          <w:rFonts w:ascii="Times New Roman" w:hAnsi="Times New Roman"/>
          <w:sz w:val="24"/>
        </w:rPr>
        <w:t>Sila Nanotechnologies: Develops silicon-dominant anode materials to improve battery energy density and charging speed..</w:t>
      </w:r>
    </w:p>
    <w:p>
      <w:pPr>
        <w:jc w:val="both"/>
      </w:pPr>
      <w:r>
        <w:rPr>
          <w:rFonts w:ascii="Times New Roman" w:hAnsi="Times New Roman"/>
          <w:sz w:val="24"/>
        </w:rPr>
        <w:t>Solid Power: Specializes in all-solid-state batteries with scalable manufacturing processes targeting automotive applications..</w:t>
      </w:r>
    </w:p>
    <w:p>
      <w:pPr>
        <w:jc w:val="both"/>
      </w:pPr>
      <w:r>
        <w:rPr>
          <w:rFonts w:ascii="Times New Roman" w:hAnsi="Times New Roman"/>
          <w:b/>
          <w:sz w:val="24"/>
        </w:rPr>
        <w:t>7. BUSINESS MODEL</w:t>
      </w:r>
    </w:p>
    <w:p>
      <w:pPr>
        <w:jc w:val="both"/>
      </w:pPr>
      <w:r>
        <w:rPr>
          <w:rFonts w:ascii="Times New Roman" w:hAnsi="Times New Roman"/>
          <w:sz w:val="24"/>
        </w:rPr>
        <w:t>StoreDot is a battery technology startup focused on enabling extreme fast charging (XFC) for electric vehicles (EVs) to accelerate mass adoption by addressing "charging anxiety" and infrastructure limitations. Their core business model centers on developing and licensing proprietary silicon-dominant anode lithium-ion battery cells capable of charging 100 miles of range in 5 minutes, with commercial readiness targeted for 2025. Revenue streams likely include licensing fees and partnerships with OEMs and battery manufacturers, as evidenced by ongoing testing with over 15 global OEMs and manufacturing partners. The customer segments are primarily EV manufacturers and battery producers aiming to differentiate their vehicles with superior charging performance. StoreDot’s go-to-market strategy leverages compatibility with existing lithium-ion manufacturing lines, enabling scalable, cost-competitive production without requiring new CAPEX investments. Their technology roadmap includes incremental advancements toward semi-solid and post-lithium batteries by 2028 and 2032, respectively, positioning them ahead of competing battery chemistries in terms of charging speed, cycle life, and manufacturability. No recent pivots were noted, but the company emphasizes readiness for commercialization and industry alignment with EV adoption timelines (source: StoreDot April 2023 corporate overview).</w:t>
      </w:r>
    </w:p>
    <w:p>
      <w:pPr>
        <w:jc w:val="both"/>
      </w:pPr>
      <w:r>
        <w:rPr>
          <w:rFonts w:ascii="Times New Roman" w:hAnsi="Times New Roman"/>
          <w:b/>
          <w:sz w:val="24"/>
        </w:rPr>
        <w:t>8. TECHNICAL DUE DILIGENCE</w:t>
      </w:r>
    </w:p>
    <w:p>
      <w:pPr>
        <w:jc w:val="both"/>
      </w:pPr>
      <w:r>
        <w:rPr>
          <w:rFonts w:ascii="Times New Roman" w:hAnsi="Times New Roman"/>
          <w:sz w:val="24"/>
        </w:rPr>
        <w:t>Maturity Level: production</w:t>
      </w:r>
    </w:p>
    <w:p>
      <w:pPr>
        <w:jc w:val="both"/>
      </w:pPr>
      <w:r>
        <w:rPr>
          <w:rFonts w:ascii="Times New Roman" w:hAnsi="Times New Roman"/>
          <w:sz w:val="24"/>
        </w:rPr>
        <w:t>Technical Moat: StoreDot has a 3-5 years' lead on alternative solutions and a strong patent portfolio</w:t>
      </w:r>
    </w:p>
    <w:p>
      <w:pPr>
        <w:jc w:val="both"/>
      </w:pPr>
      <w:r>
        <w:rPr>
          <w:rFonts w:ascii="Times New Roman" w:hAnsi="Times New Roman"/>
          <w:sz w:val="24"/>
        </w:rPr>
        <w:t>Tech Stack: N/A</w:t>
      </w:r>
    </w:p>
    <w:p>
      <w:pPr>
        <w:jc w:val="both"/>
      </w:pPr>
      <w:r>
        <w:rPr>
          <w:rFonts w:ascii="Times New Roman" w:hAnsi="Times New Roman"/>
          <w:sz w:val="24"/>
        </w:rPr>
        <w:t>Scalability:</w:t>
      </w:r>
    </w:p>
    <w:p>
      <w:pPr>
        <w:jc w:val="both"/>
      </w:pPr>
      <w:r>
        <w:rPr>
          <w:rFonts w:ascii="Times New Roman" w:hAnsi="Times New Roman"/>
          <w:sz w:val="24"/>
        </w:rPr>
        <w:t>Security:</w:t>
      </w:r>
    </w:p>
    <w:p>
      <w:pPr>
        <w:jc w:val="both"/>
      </w:pPr>
      <w:r>
        <w:rPr>
          <w:rFonts w:ascii="Times New Roman" w:hAnsi="Times New Roman"/>
          <w:b/>
          <w:sz w:val="24"/>
        </w:rPr>
        <w:t>9. PRODUCT DESCRIPTION</w:t>
      </w:r>
    </w:p>
    <w:p>
      <w:pPr>
        <w:jc w:val="both"/>
      </w:pPr>
      <w:r>
        <w:rPr>
          <w:rFonts w:ascii="Times New Roman" w:hAnsi="Times New Roman"/>
          <w:sz w:val="24"/>
        </w:rPr>
        <w:t>StoreDot has a 3-5 years' lead on alternative solutions and a strong patent portfolio</w:t>
      </w:r>
    </w:p>
    <w:p>
      <w:pPr>
        <w:jc w:val="both"/>
      </w:pPr>
      <w:r>
        <w:rPr>
          <w:rFonts w:ascii="Times New Roman" w:hAnsi="Times New Roman"/>
          <w:sz w:val="24"/>
        </w:rPr>
        <w:t>10. FINANCIAL ANALYSIS (with commentary on data availability)</w:t>
      </w:r>
    </w:p>
    <w:p>
      <w:pPr>
        <w:jc w:val="both"/>
      </w:pPr>
      <w:r>
        <w:rPr>
          <w:rFonts w:ascii="Times New Roman" w:hAnsi="Times New Roman"/>
          <w:sz w:val="24"/>
        </w:rPr>
        <w:t>Implied Valuation: $N/AM</w:t>
      </w:r>
    </w:p>
    <w:p>
      <w:pPr>
        <w:jc w:val="both"/>
      </w:pPr>
      <w:r>
        <w:rPr>
          <w:rFonts w:ascii="Times New Roman" w:hAnsi="Times New Roman"/>
          <w:sz w:val="24"/>
        </w:rPr>
        <w:t>Cash Burn (12 months): $N/AM</w:t>
      </w:r>
    </w:p>
    <w:p>
      <w:pPr>
        <w:jc w:val="both"/>
      </w:pPr>
      <w:r>
        <w:rPr>
          <w:rFonts w:ascii="Times New Roman" w:hAnsi="Times New Roman"/>
          <w:sz w:val="24"/>
        </w:rPr>
        <w:t>Runway: 0 months</w:t>
      </w:r>
    </w:p>
    <w:p>
      <w:pPr>
        <w:jc w:val="both"/>
      </w:pPr>
      <w:r>
        <w:rPr>
          <w:rFonts w:ascii="Times New Roman" w:hAnsi="Times New Roman"/>
          <w:sz w:val="24"/>
        </w:rPr>
        <w:t>Valuation Multiple: 0.0</w:t>
      </w:r>
    </w:p>
    <w:p>
      <w:pPr>
        <w:jc w:val="both"/>
      </w:pPr>
      <w:r>
        <w:rPr>
          <w:rFonts w:ascii="Times New Roman" w:hAnsi="Times New Roman"/>
          <w:sz w:val="24"/>
        </w:rPr>
        <w:t>Financial data is unavailable.</w:t>
      </w:r>
    </w:p>
    <w:p>
      <w:pPr>
        <w:jc w:val="both"/>
      </w:pPr>
      <w:r>
        <w:rPr>
          <w:rFonts w:ascii="Times New Roman" w:hAnsi="Times New Roman"/>
          <w:sz w:val="24"/>
        </w:rPr>
        <w:t>--- Extracted Tables (Financial) ---</w:t>
      </w:r>
    </w:p>
    <w:p>
      <w:pPr>
        <w:jc w:val="both"/>
      </w:pPr>
      <w:r>
        <w:rPr>
          <w:rFonts w:ascii="Times New Roman" w:hAnsi="Times New Roman"/>
          <w:b/>
          <w:sz w:val="24"/>
        </w:rPr>
        <w:t>11. TEAM &amp; MANAGEMENT</w:t>
      </w:r>
    </w:p>
    <w:p>
      <w:pPr>
        <w:jc w:val="both"/>
      </w:pPr>
      <w:r>
        <w:rPr>
          <w:rFonts w:ascii="Times New Roman" w:hAnsi="Times New Roman"/>
          <w:sz w:val="24"/>
        </w:rPr>
        <w:t>Founder: Doron Myersdorf</w:t>
      </w:r>
    </w:p>
    <w:p>
      <w:pPr>
        <w:jc w:val="both"/>
      </w:pPr>
      <w:r>
        <w:rPr>
          <w:rFonts w:ascii="Times New Roman" w:hAnsi="Times New Roman"/>
          <w:sz w:val="24"/>
        </w:rPr>
        <w:t>Founder Fit Score: 0.8 / 1.0</w:t>
      </w:r>
    </w:p>
    <w:p>
      <w:pPr>
        <w:jc w:val="both"/>
      </w:pPr>
      <w:r>
        <w:rPr>
          <w:rFonts w:ascii="Times New Roman" w:hAnsi="Times New Roman"/>
          <w:sz w:val="24"/>
        </w:rPr>
        <w:t>Prior Exits: 2</w:t>
      </w:r>
    </w:p>
    <w:p>
      <w:pPr>
        <w:jc w:val="both"/>
      </w:pPr>
      <w:r>
        <w:rPr>
          <w:rFonts w:ascii="Times New Roman" w:hAnsi="Times New Roman"/>
          <w:sz w:val="24"/>
        </w:rPr>
        <w:t>Sector Experience: Battery Technology</w:t>
      </w:r>
    </w:p>
    <w:p>
      <w:pPr>
        <w:jc w:val="both"/>
      </w:pPr>
      <w:r>
        <w:rPr>
          <w:rFonts w:ascii="Times New Roman" w:hAnsi="Times New Roman"/>
          <w:b/>
          <w:sz w:val="24"/>
        </w:rPr>
        <w:t>12. ESG CONSIDERATIONS</w:t>
      </w:r>
    </w:p>
    <w:p>
      <w:pPr>
        <w:jc w:val="both"/>
      </w:pPr>
      <w:r>
        <w:rPr>
          <w:rFonts w:ascii="Times New Roman" w:hAnsi="Times New Roman"/>
          <w:sz w:val="24"/>
        </w:rPr>
        <w:t>StoreDot is an advanced battery technology startup focused on enabling extreme fast charging (XFC) for electric vehicles (EVs), aiming to address key barriers to EV adoption such as charging speed and infrastructure limitations. Their technology promises charging times of around 10 minutes with over 1200 fast charge cycles without degradation, leveraging scalable, lithium-ion compatible production processes and a patent portfolio that supports sustainable battery chemistry improvements, including cobalt reduction. Socially, StoreDot’s innovation could significantly reduce "charging anxiety," enhancing EV user experience and accelerating mass adoption, which aligns with global decarbonization goals. Governance appears robust with experienced leadership from automotive and semiconductor sectors and a strong advisory board, though specific ESG policies or disclosures are not detailed in the materials. No recent ESG controversies or news were identified from available data, but further information on environmental impact assessments, supply chain ethics, and regulatory compliance would be needed for a comprehensive ESG evaluation.</w:t>
      </w:r>
    </w:p>
    <w:p>
      <w:pPr>
        <w:jc w:val="both"/>
      </w:pPr>
      <w:r>
        <w:rPr>
          <w:rFonts w:ascii="Times New Roman" w:hAnsi="Times New Roman"/>
          <w:b/>
          <w:sz w:val="24"/>
        </w:rPr>
        <w:t>13. RISKS &amp; MITIGATIONS</w:t>
      </w:r>
    </w:p>
    <w:p>
      <w:pPr>
        <w:jc w:val="both"/>
      </w:pPr>
      <w:r>
        <w:rPr>
          <w:rFonts w:ascii="Times New Roman" w:hAnsi="Times New Roman"/>
          <w:sz w:val="24"/>
        </w:rPr>
        <w:t>Overall Risk Level: HIGH</w:t>
      </w:r>
    </w:p>
    <w:p>
      <w:pPr>
        <w:jc w:val="both"/>
      </w:pPr>
      <w:r>
        <w:rPr>
          <w:rFonts w:ascii="Times New Roman" w:hAnsi="Times New Roman"/>
          <w:sz w:val="24"/>
        </w:rPr>
        <w:t>Risk Score: N/A / 1.0</w:t>
      </w:r>
    </w:p>
    <w:p>
      <w:pPr>
        <w:jc w:val="both"/>
      </w:pPr>
      <w:r>
        <w:rPr>
          <w:rFonts w:ascii="Times New Roman" w:hAnsi="Times New Roman"/>
          <w:sz w:val="24"/>
        </w:rPr>
        <w:t>IDENTIFIED RISKS:</w:t>
      </w:r>
    </w:p>
    <w:p>
      <w:pPr>
        <w:jc w:val="both"/>
      </w:pPr>
      <w:r>
        <w:rPr>
          <w:rFonts w:ascii="Times New Roman" w:hAnsi="Times New Roman"/>
          <w:sz w:val="24"/>
        </w:rPr>
        <w:t>Risk assessment pending - comprehensive risk analysis required</w:t>
      </w:r>
    </w:p>
    <w:p>
      <w:pPr>
        <w:jc w:val="both"/>
      </w:pPr>
      <w:r>
        <w:rPr>
          <w:rFonts w:ascii="Times New Roman" w:hAnsi="Times New Roman"/>
          <w:b/>
          <w:sz w:val="24"/>
        </w:rPr>
        <w:t>14. INVESTMENT &amp; EXIT STRATEGIES</w:t>
      </w:r>
    </w:p>
    <w:p>
      <w:pPr>
        <w:jc w:val="both"/>
      </w:pPr>
      <w:r>
        <w:rPr>
          <w:rFonts w:ascii="Times New Roman" w:hAnsi="Times New Roman"/>
          <w:sz w:val="24"/>
        </w:rPr>
        <w:t>Based on the information provided, StoreDot's extreme fast charging battery technology seems to have a strong potential for mass adoption in the EV industry. Potential exit scenarios could include acquisition by a major EV manufacturer looking to enhance their charging capabilities, or an IPO if StoreDot continues to lead in the market. Recommended exit strategies could involve targeting acquisition by companies like Tesla, Volkswagen, or other major players in the EV space within the next 3-5 years. However, more information on current partnerships, revenue projections, and market traction would be needed for a more detailed analysis.</w:t>
      </w:r>
    </w:p>
    <w:p>
      <w:pPr>
        <w:jc w:val="both"/>
      </w:pPr>
      <w:r>
        <w:rPr>
          <w:rFonts w:ascii="Times New Roman" w:hAnsi="Times New Roman"/>
          <w:sz w:val="24"/>
        </w:rPr>
        <w:t>15. FOLLOW-UP QUESTIONS &amp; NEXT STEPS</w:t>
      </w:r>
    </w:p>
    <w:p>
      <w:pPr>
        <w:jc w:val="both"/>
      </w:pPr>
      <w:r>
        <w:rPr>
          <w:rFonts w:ascii="Times New Roman" w:hAnsi="Times New Roman"/>
          <w:sz w:val="24"/>
        </w:rPr>
        <w:t>- **Technology Validation &amp; IP**</w:t>
      </w:r>
    </w:p>
    <w:p>
      <w:pPr>
        <w:jc w:val="both"/>
      </w:pPr>
      <w:r>
        <w:rPr>
          <w:rFonts w:ascii="Times New Roman" w:hAnsi="Times New Roman"/>
          <w:sz w:val="24"/>
        </w:rPr>
        <w:t>- Request detailed third-party test reports validating the 10-minute charging claim and &gt;1200 cycle life under extreme fast charging conditions.</w:t>
      </w:r>
    </w:p>
    <w:p>
      <w:pPr>
        <w:jc w:val="both"/>
      </w:pPr>
      <w:r>
        <w:rPr>
          <w:rFonts w:ascii="Times New Roman" w:hAnsi="Times New Roman"/>
          <w:sz w:val="24"/>
        </w:rPr>
        <w:t>- Clarify the scope and geographic coverage of the 78 granted and 22 pending patents; assess potential IP risks or overlaps.</w:t>
      </w:r>
    </w:p>
    <w:p>
      <w:pPr>
        <w:jc w:val="both"/>
      </w:pPr>
      <w:r>
        <w:rPr>
          <w:rFonts w:ascii="Times New Roman" w:hAnsi="Times New Roman"/>
          <w:sz w:val="24"/>
        </w:rPr>
        <w:t>- Understand any known technical limitations or degradation modes not disclosed.</w:t>
      </w:r>
    </w:p>
    <w:p>
      <w:pPr>
        <w:jc w:val="both"/>
      </w:pPr>
      <w:r>
        <w:rPr>
          <w:rFonts w:ascii="Times New Roman" w:hAnsi="Times New Roman"/>
          <w:sz w:val="24"/>
        </w:rPr>
        <w:t>- **OEM &amp; Manufacturing Partnerships**</w:t>
      </w:r>
    </w:p>
    <w:p>
      <w:pPr>
        <w:jc w:val="both"/>
      </w:pPr>
      <w:r>
        <w:rPr>
          <w:rFonts w:ascii="Times New Roman" w:hAnsi="Times New Roman"/>
          <w:sz w:val="24"/>
        </w:rPr>
        <w:t>- Obtain a list of the &gt;15 OEMs and manufacturing partners currently testing the 100in5 cells, including stage of engagement and feedback.</w:t>
      </w:r>
    </w:p>
    <w:p>
      <w:pPr>
        <w:jc w:val="both"/>
      </w:pPr>
      <w:r>
        <w:rPr>
          <w:rFonts w:ascii="Times New Roman" w:hAnsi="Times New Roman"/>
          <w:sz w:val="24"/>
        </w:rPr>
        <w:t>- Confirm exclusivity or non-exclusivity terms with these partners.</w:t>
      </w:r>
    </w:p>
    <w:p>
      <w:pPr>
        <w:jc w:val="both"/>
      </w:pPr>
      <w:r>
        <w:rPr>
          <w:rFonts w:ascii="Times New Roman" w:hAnsi="Times New Roman"/>
          <w:sz w:val="24"/>
        </w:rPr>
        <w:t>- Assess readiness and capacity of manufacturing partners to scale production by 2025.</w:t>
      </w:r>
    </w:p>
    <w:p>
      <w:pPr>
        <w:jc w:val="both"/>
      </w:pPr>
      <w:r>
        <w:rPr>
          <w:rFonts w:ascii="Times New Roman" w:hAnsi="Times New Roman"/>
          <w:sz w:val="24"/>
        </w:rPr>
        <w:t>- **Commercialization &amp; Go-to-Market**</w:t>
      </w:r>
    </w:p>
    <w:p>
      <w:pPr>
        <w:jc w:val="both"/>
      </w:pPr>
      <w:r>
        <w:rPr>
          <w:rFonts w:ascii="Times New Roman" w:hAnsi="Times New Roman"/>
          <w:sz w:val="24"/>
        </w:rPr>
        <w:t>- Clarify the planned business model: licensing only, direct sales, joint ventures, or other.</w:t>
      </w:r>
    </w:p>
    <w:p>
      <w:pPr>
        <w:jc w:val="both"/>
      </w:pPr>
      <w:r>
        <w:rPr>
          <w:rFonts w:ascii="Times New Roman" w:hAnsi="Times New Roman"/>
          <w:sz w:val="24"/>
        </w:rPr>
        <w:t>- Request detailed commercialization timeline and milestones leading to 2025 production readiness.</w:t>
      </w:r>
    </w:p>
    <w:p>
      <w:pPr>
        <w:jc w:val="both"/>
      </w:pPr>
      <w:r>
        <w:rPr>
          <w:rFonts w:ascii="Times New Roman" w:hAnsi="Times New Roman"/>
          <w:sz w:val="24"/>
        </w:rPr>
        <w:t>- Understand pricing strategy and cost per kWh compared to incumbent Li-ion batteries.</w:t>
      </w:r>
    </w:p>
    <w:p>
      <w:pPr>
        <w:jc w:val="both"/>
      </w:pPr>
      <w:r>
        <w:rPr>
          <w:rFonts w:ascii="Times New Roman" w:hAnsi="Times New Roman"/>
          <w:sz w:val="24"/>
        </w:rPr>
        <w:t>- **Competitive Landscape**</w:t>
      </w:r>
    </w:p>
    <w:p>
      <w:pPr>
        <w:jc w:val="both"/>
      </w:pPr>
      <w:r>
        <w:rPr>
          <w:rFonts w:ascii="Times New Roman" w:hAnsi="Times New Roman"/>
          <w:sz w:val="24"/>
        </w:rPr>
        <w:t>- Request a competitive analysis including emerging solid-state and semi-solid technologies beyond 2023, with independent benchmarking.</w:t>
      </w:r>
    </w:p>
    <w:p>
      <w:pPr>
        <w:jc w:val="both"/>
      </w:pPr>
      <w:r>
        <w:rPr>
          <w:rFonts w:ascii="Times New Roman" w:hAnsi="Times New Roman"/>
          <w:sz w:val="24"/>
        </w:rPr>
        <w:t>- Clarify StoreDot’s defensibility against competitors’ potential technological breakthroughs or cost reductions.</w:t>
      </w:r>
    </w:p>
    <w:p>
      <w:pPr>
        <w:jc w:val="both"/>
      </w:pPr>
      <w:r>
        <w:rPr>
          <w:rFonts w:ascii="Times New Roman" w:hAnsi="Times New Roman"/>
          <w:sz w:val="24"/>
        </w:rPr>
        <w:t>- **Supply Chain &amp; Materials**</w:t>
      </w:r>
    </w:p>
    <w:p>
      <w:pPr>
        <w:jc w:val="both"/>
      </w:pPr>
      <w:r>
        <w:rPr>
          <w:rFonts w:ascii="Times New Roman" w:hAnsi="Times New Roman"/>
          <w:sz w:val="24"/>
        </w:rPr>
        <w:t>- Detail raw material sourcing strategy, especially for silicon anodes and any rare materials, including risks and mitigation plans.</w:t>
      </w:r>
    </w:p>
    <w:p>
      <w:pPr>
        <w:jc w:val="both"/>
      </w:pPr>
      <w:r>
        <w:rPr>
          <w:rFonts w:ascii="Times New Roman" w:hAnsi="Times New Roman"/>
          <w:sz w:val="24"/>
        </w:rPr>
        <w:t>- Confirm supply chain robustness and potential bottlenecks for scaling to mass production.</w:t>
      </w:r>
    </w:p>
    <w:p>
      <w:pPr>
        <w:jc w:val="both"/>
      </w:pPr>
      <w:r>
        <w:rPr>
          <w:rFonts w:ascii="Times New Roman" w:hAnsi="Times New Roman"/>
          <w:sz w:val="24"/>
        </w:rPr>
        <w:t>- **Financials &amp; Funding**</w:t>
      </w:r>
    </w:p>
    <w:p>
      <w:pPr>
        <w:jc w:val="both"/>
      </w:pPr>
      <w:r>
        <w:rPr>
          <w:rFonts w:ascii="Times New Roman" w:hAnsi="Times New Roman"/>
          <w:sz w:val="24"/>
        </w:rPr>
        <w:t>- Request current financials, burn rate, and runway.</w:t>
      </w:r>
    </w:p>
    <w:p>
      <w:pPr>
        <w:jc w:val="both"/>
      </w:pPr>
      <w:r>
        <w:rPr>
          <w:rFonts w:ascii="Times New Roman" w:hAnsi="Times New Roman"/>
          <w:sz w:val="24"/>
        </w:rPr>
        <w:t>- Clarify funding requirements and planned use of proceeds for scaling manufacturing and commercialization.</w:t>
      </w:r>
    </w:p>
    <w:p>
      <w:pPr>
        <w:jc w:val="both"/>
      </w:pPr>
      <w:r>
        <w:rPr>
          <w:rFonts w:ascii="Times New Roman" w:hAnsi="Times New Roman"/>
          <w:sz w:val="24"/>
        </w:rPr>
        <w:t>- Understand revenue projections and assumptions underpinning valuation.</w:t>
      </w:r>
    </w:p>
    <w:p>
      <w:pPr>
        <w:jc w:val="both"/>
      </w:pPr>
      <w:r>
        <w:rPr>
          <w:rFonts w:ascii="Times New Roman" w:hAnsi="Times New Roman"/>
          <w:sz w:val="24"/>
        </w:rPr>
        <w:t>- **Regulatory &amp; Safety**</w:t>
      </w:r>
    </w:p>
    <w:p>
      <w:pPr>
        <w:jc w:val="both"/>
      </w:pPr>
      <w:r>
        <w:rPr>
          <w:rFonts w:ascii="Times New Roman" w:hAnsi="Times New Roman"/>
          <w:sz w:val="24"/>
        </w:rPr>
        <w:t>- Confirm compliance with relevant automotive and battery safety standards globally.</w:t>
      </w:r>
    </w:p>
    <w:p>
      <w:pPr>
        <w:jc w:val="both"/>
      </w:pPr>
      <w:r>
        <w:rPr>
          <w:rFonts w:ascii="Times New Roman" w:hAnsi="Times New Roman"/>
          <w:sz w:val="24"/>
        </w:rPr>
        <w:t>- Request data on safety testing, thermal runaway resistance, and certifications obtained or in progress.</w:t>
      </w:r>
    </w:p>
    <w:p>
      <w:pPr>
        <w:jc w:val="both"/>
      </w:pPr>
      <w:r>
        <w:rPr>
          <w:rFonts w:ascii="Times New Roman" w:hAnsi="Times New Roman"/>
          <w:sz w:val="24"/>
        </w:rPr>
        <w:t>- **Team &amp; Execution**</w:t>
      </w:r>
    </w:p>
    <w:p>
      <w:pPr>
        <w:jc w:val="both"/>
      </w:pPr>
      <w:r>
        <w:rPr>
          <w:rFonts w:ascii="Times New Roman" w:hAnsi="Times New Roman"/>
          <w:sz w:val="24"/>
        </w:rPr>
        <w:t>- Assess depth of technical and commercial team beyond leadership; key hires planned to support scale-up.</w:t>
      </w:r>
    </w:p>
    <w:p>
      <w:pPr>
        <w:jc w:val="both"/>
      </w:pPr>
      <w:r>
        <w:rPr>
          <w:rFonts w:ascii="Times New Roman" w:hAnsi="Times New Roman"/>
          <w:sz w:val="24"/>
        </w:rPr>
        <w:t>- Understand organizational readiness and potential gaps for rapid growth.</w:t>
      </w:r>
    </w:p>
    <w:p>
      <w:pPr>
        <w:jc w:val="both"/>
      </w:pPr>
      <w:r>
        <w:rPr>
          <w:rFonts w:ascii="Times New Roman" w:hAnsi="Times New Roman"/>
          <w:sz w:val="24"/>
        </w:rPr>
        <w:t>- **Next Steps**</w:t>
      </w:r>
    </w:p>
    <w:p>
      <w:pPr>
        <w:jc w:val="both"/>
      </w:pPr>
      <w:r>
        <w:rPr>
          <w:rFonts w:ascii="Times New Roman" w:hAnsi="Times New Roman"/>
          <w:sz w:val="24"/>
        </w:rPr>
        <w:t>- Schedule technical deep-dive with CTO and R&amp;D leads.</w:t>
      </w:r>
    </w:p>
    <w:p>
      <w:pPr>
        <w:jc w:val="both"/>
      </w:pPr>
      <w:r>
        <w:rPr>
          <w:rFonts w:ascii="Times New Roman" w:hAnsi="Times New Roman"/>
          <w:sz w:val="24"/>
        </w:rPr>
        <w:t>- Arrange reference calls with OEM partners and industry experts on advisory board.</w:t>
      </w:r>
    </w:p>
    <w:p>
      <w:pPr>
        <w:jc w:val="both"/>
      </w:pPr>
      <w:r>
        <w:rPr>
          <w:rFonts w:ascii="Times New Roman" w:hAnsi="Times New Roman"/>
          <w:sz w:val="24"/>
        </w:rPr>
        <w:t>- Conduct site visit to pilot manufacturing facilities.</w:t>
      </w:r>
    </w:p>
    <w:p>
      <w:pPr>
        <w:jc w:val="both"/>
      </w:pPr>
      <w:r>
        <w:rPr>
          <w:rFonts w:ascii="Times New Roman" w:hAnsi="Times New Roman"/>
          <w:sz w:val="24"/>
        </w:rPr>
        <w:t>- Engage independent battery technology consultants for due diligence review.</w:t>
      </w:r>
    </w:p>
    <w:p>
      <w:pPr>
        <w:jc w:val="both"/>
      </w:pPr>
      <w:r>
        <w:rPr>
          <w:rFonts w:ascii="Times New Roman" w:hAnsi="Times New Roman"/>
          <w:sz w:val="24"/>
        </w:rPr>
        <w:t>No follow-up questions if all above are satisfactorily addressed.</w:t>
      </w:r>
    </w:p>
    <w:p>
      <w:pPr>
        <w:jc w:val="both"/>
      </w:pPr>
      <w:r>
        <w:rPr>
          <w:rFonts w:ascii="Times New Roman" w:hAnsi="Times New Roman"/>
          <w:b/>
          <w:sz w:val="24"/>
        </w:rPr>
        <w:t>16. FIGURES &amp; VISUALS</w:t>
      </w:r>
    </w:p>
    <w:p>
      <w:pPr>
        <w:jc w:val="both"/>
      </w:pPr>
      <w:r>
        <w:rPr>
          <w:rFonts w:ascii="Times New Roman" w:hAnsi="Times New Roman"/>
          <w:sz w:val="24"/>
        </w:rPr>
        <w:t>No figures extracted.</w:t>
      </w:r>
    </w:p>
    <w:p>
      <w:pPr>
        <w:jc w:val="both"/>
      </w:pPr>
      <w:r>
        <w:rPr>
          <w:rFonts w:ascii="Times New Roman" w:hAnsi="Times New Roman"/>
          <w:sz w:val="24"/>
        </w:rPr>
        <w:t>17. APPENDIX: ADDITIONAL TABLES</w:t>
      </w:r>
    </w:p>
    <w:p>
      <w:pPr>
        <w:jc w:val="both"/>
      </w:pPr>
      <w:r>
        <w:rPr>
          <w:rFonts w:ascii="Times New Roman" w:hAnsi="Times New Roman"/>
          <w:b/>
          <w:sz w:val="24"/>
        </w:rPr>
        <w:t>18. DISCUSSION &amp; ANALYST COMMENTARY</w:t>
      </w:r>
    </w:p>
    <w:p>
      <w:pPr>
        <w:jc w:val="both"/>
      </w:pPr>
      <w:r>
        <w:rPr>
          <w:rFonts w:ascii="Times New Roman" w:hAnsi="Times New Roman"/>
          <w:sz w:val="24"/>
        </w:rPr>
        <w:t>**Analyst Commentary on StoreDot Investment Memo**</w:t>
      </w:r>
    </w:p>
    <w:p>
      <w:pPr>
        <w:jc w:val="both"/>
      </w:pPr>
      <w:r>
        <w:rPr>
          <w:rFonts w:ascii="Times New Roman" w:hAnsi="Times New Roman"/>
          <w:sz w:val="24"/>
        </w:rPr>
        <w:t>---</w:t>
      </w:r>
    </w:p>
    <w:p>
      <w:pPr>
        <w:jc w:val="both"/>
      </w:pPr>
      <w:r>
        <w:rPr>
          <w:rFonts w:ascii="Times New Roman" w:hAnsi="Times New Roman"/>
          <w:sz w:val="24"/>
        </w:rPr>
        <w:t>### Key Strengths</w:t>
      </w:r>
    </w:p>
    <w:p>
      <w:pPr>
        <w:jc w:val="both"/>
      </w:pPr>
      <w:r>
        <w:rPr>
          <w:rFonts w:ascii="Times New Roman" w:hAnsi="Times New Roman"/>
          <w:sz w:val="24"/>
        </w:rPr>
        <w:t>- **Technological Differentiation &amp; Moat:** StoreDot’s silicon-dominant anode lithium-ion battery technology claims a 3-5 year lead over competitors, enabling extreme fast charging (XFC) of 100 miles in 5-10 minutes. This addresses a critical EV adoption barrier—charging time—and is compatible with existing lithium-ion manufacturing lines, facilitating rapid scalability without heavy CAPEX.</w:t>
      </w:r>
    </w:p>
    <w:p>
      <w:pPr>
        <w:jc w:val="both"/>
      </w:pPr>
      <w:r>
        <w:rPr>
          <w:rFonts w:ascii="Times New Roman" w:hAnsi="Times New Roman"/>
          <w:sz w:val="24"/>
        </w:rPr>
        <w:t>- **Strong IP Position:** With 78 granted US patents and 22 pending, StoreDot has built a robust patent portfolio that could protect its technology and licensing model from immediate competitive threats.</w:t>
      </w:r>
    </w:p>
    <w:p>
      <w:pPr>
        <w:jc w:val="both"/>
      </w:pPr>
      <w:r>
        <w:rPr>
          <w:rFonts w:ascii="Times New Roman" w:hAnsi="Times New Roman"/>
          <w:sz w:val="24"/>
        </w:rPr>
        <w:t>- **OEM Engagement:** Partnerships with over 15 OEMs and manufacturing partners indicate strong industry interest and validation potential, which is crucial for commercialization and market penetration.</w:t>
      </w:r>
    </w:p>
    <w:p>
      <w:pPr>
        <w:jc w:val="both"/>
      </w:pPr>
      <w:r>
        <w:rPr>
          <w:rFonts w:ascii="Times New Roman" w:hAnsi="Times New Roman"/>
          <w:sz w:val="24"/>
        </w:rPr>
        <w:t>- **Clear Market Need &amp; Large TAM:** The $120B TAM for battery technology and the focus on overcoming “charging anxiety” align well with global EV adoption trends and decarbonization goals, suggesting significant market opportunity.</w:t>
      </w:r>
    </w:p>
    <w:p>
      <w:pPr>
        <w:jc w:val="both"/>
      </w:pPr>
      <w:r>
        <w:rPr>
          <w:rFonts w:ascii="Times New Roman" w:hAnsi="Times New Roman"/>
          <w:sz w:val="24"/>
        </w:rPr>
        <w:t>- **Experienced Founder:** Doron Myersdorf’s prior exits and sector experience provide confidence in leadership and execution capability.</w:t>
      </w:r>
    </w:p>
    <w:p>
      <w:pPr>
        <w:jc w:val="both"/>
      </w:pPr>
      <w:r>
        <w:rPr>
          <w:rFonts w:ascii="Times New Roman" w:hAnsi="Times New Roman"/>
          <w:sz w:val="24"/>
        </w:rPr>
        <w:t>### Key Weaknesses</w:t>
      </w:r>
    </w:p>
    <w:p>
      <w:pPr>
        <w:jc w:val="both"/>
      </w:pPr>
      <w:r>
        <w:rPr>
          <w:rFonts w:ascii="Times New Roman" w:hAnsi="Times New Roman"/>
          <w:sz w:val="24"/>
        </w:rPr>
        <w:t>- **Lack of Financial Transparency:** No financial data, burn rate, runway, or valuation details are provided, creating uncertainty around the company’s financial health and funding needs.</w:t>
      </w:r>
    </w:p>
    <w:p>
      <w:pPr>
        <w:jc w:val="both"/>
      </w:pPr>
      <w:r>
        <w:rPr>
          <w:rFonts w:ascii="Times New Roman" w:hAnsi="Times New Roman"/>
          <w:sz w:val="24"/>
        </w:rPr>
        <w:t>- **Limited Team Information:** The memo only highlights the founder, with no details on the broader technical or commercial team, raising questions about execution capacity at scale.</w:t>
      </w:r>
    </w:p>
    <w:p>
      <w:pPr>
        <w:jc w:val="both"/>
      </w:pPr>
      <w:r>
        <w:rPr>
          <w:rFonts w:ascii="Times New Roman" w:hAnsi="Times New Roman"/>
          <w:sz w:val="24"/>
        </w:rPr>
        <w:t>- **Unclear Commercialization Timeline &amp; Business Model Details:** While 2025 commercialization is targeted, specifics on licensing terms, pricing, revenue models, and go-to-market milestones are vague.</w:t>
      </w:r>
    </w:p>
    <w:p>
      <w:pPr>
        <w:jc w:val="both"/>
      </w:pPr>
      <w:r>
        <w:rPr>
          <w:rFonts w:ascii="Times New Roman" w:hAnsi="Times New Roman"/>
          <w:sz w:val="24"/>
        </w:rPr>
        <w:t>- **Technical Validation Pending:** Claims of charging speed and cycle life require independent third-party validation to mitigate technology risk.</w:t>
      </w:r>
    </w:p>
    <w:p>
      <w:pPr>
        <w:jc w:val="both"/>
      </w:pPr>
      <w:r>
        <w:rPr>
          <w:rFonts w:ascii="Times New Roman" w:hAnsi="Times New Roman"/>
          <w:sz w:val="24"/>
        </w:rPr>
        <w:t>- **High Overall Risk:** The memo acknowledges a high-risk profile but lacks a comprehensive risk assessment or mitigation strategies.</w:t>
      </w:r>
    </w:p>
    <w:p>
      <w:pPr>
        <w:jc w:val="both"/>
      </w:pPr>
      <w:r>
        <w:rPr>
          <w:rFonts w:ascii="Times New Roman" w:hAnsi="Times New Roman"/>
          <w:sz w:val="24"/>
        </w:rPr>
        <w:t>### Opportunities</w:t>
      </w:r>
    </w:p>
    <w:p>
      <w:pPr>
        <w:jc w:val="both"/>
      </w:pPr>
      <w:r>
        <w:rPr>
          <w:rFonts w:ascii="Times New Roman" w:hAnsi="Times New Roman"/>
          <w:sz w:val="24"/>
        </w:rPr>
        <w:t>- **Mass EV Adoption Catalyst:** If StoreDot delivers on its promises, it could become a critical enabler for EV manufacturers to overcome charging infrastructure limitations, accelerating EV market growth.</w:t>
      </w:r>
    </w:p>
    <w:p>
      <w:pPr>
        <w:jc w:val="both"/>
      </w:pPr>
      <w:r>
        <w:rPr>
          <w:rFonts w:ascii="Times New Roman" w:hAnsi="Times New Roman"/>
          <w:sz w:val="24"/>
        </w:rPr>
        <w:t>- **Licensing Model Scalability:** Licensing to OEMs and manufacturers allows rapid scaling without heavy capital expenditure, potentially enabling high-margin recurring revenue streams.</w:t>
      </w:r>
    </w:p>
    <w:p>
      <w:pPr>
        <w:jc w:val="both"/>
      </w:pPr>
      <w:r>
        <w:rPr>
          <w:rFonts w:ascii="Times New Roman" w:hAnsi="Times New Roman"/>
          <w:sz w:val="24"/>
        </w:rPr>
        <w:t>- **Technology Roadmap:** Planned advancements toward semi-solid and post-lithium batteries by 2028 and 2032 position StoreDot to maintain technological leadership and adapt to evolving market demands.</w:t>
      </w:r>
    </w:p>
    <w:p>
      <w:pPr>
        <w:jc w:val="both"/>
      </w:pPr>
      <w:r>
        <w:rPr>
          <w:rFonts w:ascii="Times New Roman" w:hAnsi="Times New Roman"/>
          <w:sz w:val="24"/>
        </w:rPr>
        <w:t>- **Potential Strategic Acquisitions:** StoreDot could be an attractive acquisition target for major EV players (Tesla, VW, etc.) seeking to integrate proprietary fast-charging tech.</w:t>
      </w:r>
    </w:p>
    <w:p>
      <w:pPr>
        <w:jc w:val="both"/>
      </w:pPr>
      <w:r>
        <w:rPr>
          <w:rFonts w:ascii="Times New Roman" w:hAnsi="Times New Roman"/>
          <w:sz w:val="24"/>
        </w:rPr>
        <w:t>### Risks</w:t>
      </w:r>
    </w:p>
    <w:p>
      <w:pPr>
        <w:jc w:val="both"/>
      </w:pPr>
      <w:r>
        <w:rPr>
          <w:rFonts w:ascii="Times New Roman" w:hAnsi="Times New Roman"/>
          <w:sz w:val="24"/>
        </w:rPr>
        <w:t>- **Technology Execution Risk:** The leap from lab-scale to mass production of extreme fast charging batteries is non-trivial; potential degradation, safety, and manufacturability challenges remain.</w:t>
      </w:r>
    </w:p>
    <w:p>
      <w:pPr>
        <w:jc w:val="both"/>
      </w:pPr>
      <w:r>
        <w:rPr>
          <w:rFonts w:ascii="Times New Roman" w:hAnsi="Times New Roman"/>
          <w:sz w:val="24"/>
        </w:rPr>
        <w:t>- **Competitive Pressure:** Solid-state and other advanced battery startups (QuantumScape, Solid Power, Sila Nanotechnologies) are aggressively developing competing technologies that could leapfrog StoreDot’s silicon-anode approach.</w:t>
      </w:r>
    </w:p>
    <w:p>
      <w:pPr>
        <w:jc w:val="both"/>
      </w:pPr>
      <w:r>
        <w:rPr>
          <w:rFonts w:ascii="Times New Roman" w:hAnsi="Times New Roman"/>
          <w:sz w:val="24"/>
        </w:rPr>
        <w:t>- **Supply Chain &amp; Materials Risk:** Silicon anode materials and other raw materials may face sourcing constraints or cost volatility, impacting scalability and margins.</w:t>
      </w:r>
    </w:p>
    <w:p>
      <w:pPr>
        <w:jc w:val="both"/>
      </w:pPr>
      <w:r>
        <w:rPr>
          <w:rFonts w:ascii="Times New Roman" w:hAnsi="Times New Roman"/>
          <w:sz w:val="24"/>
        </w:rPr>
        <w:t>- **Regulatory &amp; Safety Compliance:** Battery safety standards are stringent; failure to meet them could delay commercialization or lead to costly recalls.</w:t>
      </w:r>
    </w:p>
    <w:p>
      <w:pPr>
        <w:jc w:val="both"/>
      </w:pPr>
      <w:r>
        <w:rPr>
          <w:rFonts w:ascii="Times New Roman" w:hAnsi="Times New Roman"/>
          <w:sz w:val="24"/>
        </w:rPr>
        <w:t>- **Market Adoption &amp; OEM Dependence:** Heavy reliance on OEM partnerships means StoreDot’s success is tied to partners’ willingness to adopt and integrate new battery tech.</w:t>
      </w:r>
    </w:p>
    <w:p>
      <w:pPr>
        <w:jc w:val="both"/>
      </w:pPr>
      <w:r>
        <w:rPr>
          <w:rFonts w:ascii="Times New Roman" w:hAnsi="Times New Roman"/>
          <w:sz w:val="24"/>
        </w:rPr>
        <w:t>- **Financial &amp; Funding Uncertainty:** Lack of disclosed financials and runway raises concerns about the company’s ability to sustain operations through commercialization.</w:t>
      </w:r>
    </w:p>
    <w:p>
      <w:pPr>
        <w:jc w:val="both"/>
      </w:pPr>
      <w:r>
        <w:rPr>
          <w:rFonts w:ascii="Times New Roman" w:hAnsi="Times New Roman"/>
          <w:sz w:val="24"/>
        </w:rPr>
        <w:t>### Actionable Recommendations for Investors</w:t>
      </w:r>
    </w:p>
    <w:p>
      <w:pPr>
        <w:jc w:val="both"/>
      </w:pPr>
      <w:r>
        <w:rPr>
          <w:rFonts w:ascii="Times New Roman" w:hAnsi="Times New Roman"/>
          <w:sz w:val="24"/>
        </w:rPr>
        <w:t>1. **Demand Comprehensive Due Diligence:** Prioritize obtaining third-party technical validation reports, detailed OEM partnership agreements, and manufacturing readiness assessments before committing capital.</w:t>
      </w:r>
    </w:p>
    <w:p>
      <w:pPr>
        <w:jc w:val="both"/>
      </w:pPr>
      <w:r>
        <w:rPr>
          <w:rFonts w:ascii="Times New Roman" w:hAnsi="Times New Roman"/>
          <w:sz w:val="24"/>
        </w:rPr>
        <w:t>2. **Request Full Financial Disclosure:** Insist on current financials, burn rate, runway, and funding requirements to evaluate capital needs and dilution risk.</w:t>
      </w:r>
    </w:p>
    <w:p>
      <w:pPr>
        <w:jc w:val="both"/>
      </w:pPr>
      <w:r>
        <w:rPr>
          <w:rFonts w:ascii="Times New Roman" w:hAnsi="Times New Roman"/>
          <w:sz w:val="24"/>
        </w:rPr>
        <w:t>3. **Evaluate IP Strength &amp; Freedom to Operate:** Conduct an independent IP audit to confirm patent scope, geographic coverage, and potential infringement risks.</w:t>
      </w:r>
    </w:p>
    <w:p>
      <w:pPr>
        <w:jc w:val="both"/>
      </w:pPr>
      <w:r>
        <w:rPr>
          <w:rFonts w:ascii="Times New Roman" w:hAnsi="Times New Roman"/>
          <w:sz w:val="24"/>
        </w:rPr>
        <w:t>4. **Assess Team Depth &amp; Execution Capability:** Verify the presence of a strong technical and commercial team capable of scaling production and managing OEM relationships.</w:t>
      </w:r>
    </w:p>
    <w:p>
      <w:pPr>
        <w:jc w:val="both"/>
      </w:pPr>
      <w:r>
        <w:rPr>
          <w:rFonts w:ascii="Times New Roman" w:hAnsi="Times New Roman"/>
          <w:sz w:val="24"/>
        </w:rPr>
        <w:t>5. **Monitor Competitive Landscape Closely:** Track advancements by solid-state and other battery tech startups to assess StoreDot’s relative positioning and defensibility.</w:t>
      </w:r>
    </w:p>
    <w:p>
      <w:pPr>
        <w:jc w:val="both"/>
      </w:pPr>
      <w:r>
        <w:rPr>
          <w:rFonts w:ascii="Times New Roman" w:hAnsi="Times New Roman"/>
          <w:sz w:val="24"/>
        </w:rPr>
        <w:t>6. **Consider Staged Investment:** Structure funding in tranches tied to key milestones such as successful OEM integration, pilot production, and safety certifications to mitigate risk.</w:t>
      </w:r>
    </w:p>
    <w:p>
      <w:pPr>
        <w:jc w:val="both"/>
      </w:pPr>
      <w:r>
        <w:rPr>
          <w:rFonts w:ascii="Times New Roman" w:hAnsi="Times New Roman"/>
          <w:sz w:val="24"/>
        </w:rPr>
        <w:t>7. **Engage Industry Experts:** Utilize independent battery technology consultants and conduct site visits to validate claims and operational readiness.</w:t>
      </w:r>
    </w:p>
    <w:p>
      <w:pPr>
        <w:jc w:val="both"/>
      </w:pPr>
      <w:r>
        <w:rPr>
          <w:rFonts w:ascii="Times New Roman" w:hAnsi="Times New Roman"/>
          <w:sz w:val="24"/>
        </w:rPr>
        <w:t>### Conclusion</w:t>
      </w:r>
    </w:p>
    <w:p>
      <w:pPr>
        <w:jc w:val="both"/>
      </w:pPr>
      <w:r>
        <w:rPr>
          <w:rFonts w:ascii="Times New Roman" w:hAnsi="Times New Roman"/>
          <w:sz w:val="24"/>
        </w:rPr>
        <w:t>StoreDot presents a compelling technology proposition with significant market potential and early OEM interest, addressing a critical bottleneck in EV adoption. However, the lack of financial transparency, limited team information, and pending technical validation introduce substantial execution and market risks. Investors should proceed cautiously, demanding rigorous due diligence and milestone-based investment to balance the high upside against the inherent risks in deep-tech battery commercialization.</w:t>
      </w:r>
    </w:p>
    <w:p>
      <w:pPr>
        <w:jc w:val="both"/>
      </w:pPr>
      <w:r>
        <w:rPr>
          <w:rFonts w:ascii="Times New Roman" w:hAnsi="Times New Roman"/>
          <w:sz w:val="24"/>
        </w:rPr>
        <w:t>Generated by VC Analysis System on July 11, 2025</w:t>
      </w:r>
    </w:p>
    <w:p>
      <w:pPr>
        <w:jc w:val="both"/>
      </w:pPr>
      <w:r>
        <w:rPr>
          <w:rFonts w:ascii="Times New Roman" w:hAnsi="Times New Roman"/>
          <w:sz w:val="24"/>
        </w:rPr>
        <w:t>Data Sources: Company documents, market research, competitive intelligence, technical analysis</w:t>
      </w:r>
    </w:p>
    <w:p>
      <w:pPr>
        <w:jc w:val="both"/>
      </w:pPr>
      <w:r>
        <w:rPr>
          <w:rFonts w:ascii="Times New Roman" w:hAnsi="Times New Roman"/>
          <w:sz w:val="24"/>
        </w:rPr>
        <w:t>Analysis Framework: Multi-agent AI system with specialized domain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inline xmlns:a="http://schemas.openxmlformats.org/drawingml/2006/main" xmlns:pic="http://schemas.openxmlformats.org/drawingml/2006/picture">
          <wp:extent cx="2286000" cy="1524000"/>
          <wp:docPr id="1" name="Picture 1"/>
          <wp:cNvGraphicFramePr>
            <a:graphicFrameLocks noChangeAspect="1"/>
          </wp:cNvGraphicFramePr>
          <a:graphic>
            <a:graphicData uri="http://schemas.openxmlformats.org/drawingml/2006/picture">
              <pic:pic>
                <pic:nvPicPr>
                  <pic:cNvPr id="0" name="uni_logo.png"/>
                  <pic:cNvPicPr/>
                </pic:nvPicPr>
                <pic:blipFill>
                  <a:blip r:embed="rId1"/>
                  <a:stretch>
                    <a:fillRect/>
                  </a:stretch>
                </pic:blipFill>
                <pic:spPr>
                  <a:xfrm>
                    <a:off x="0" y="0"/>
                    <a:ext cx="2286000" cy="1524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