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72323EC" w14:textId="77777777" w:rsidR="001A3A2E" w:rsidRDefault="001A3A2E" w:rsidP="00703322">
      <w:pPr>
        <w:spacing w:after="160" w:line="259" w:lineRule="auto"/>
        <w:rPr>
          <w:lang w:val="en-US"/>
        </w:rPr>
      </w:pPr>
    </w:p>
    <w:p w14:paraId="1B751821" w14:textId="77777777" w:rsidR="001A3A2E" w:rsidRDefault="001A3A2E" w:rsidP="001A3A2E">
      <w:pPr>
        <w:spacing w:after="160" w:line="259" w:lineRule="auto"/>
        <w:jc w:val="center"/>
        <w:rPr>
          <w:lang w:val="en-US"/>
        </w:rPr>
      </w:pPr>
    </w:p>
    <w:p w14:paraId="7B98CE46" w14:textId="77777777" w:rsidR="001A3A2E" w:rsidRDefault="001A3A2E" w:rsidP="00703322">
      <w:pPr>
        <w:spacing w:after="160" w:line="259" w:lineRule="auto"/>
        <w:rPr>
          <w:lang w:val="en-US"/>
        </w:rPr>
      </w:pPr>
    </w:p>
    <w:p w14:paraId="50293DBD" w14:textId="77777777" w:rsidR="001A3A2E" w:rsidRDefault="001A3A2E" w:rsidP="00830FE5">
      <w:pPr>
        <w:spacing w:after="160" w:line="259" w:lineRule="auto"/>
        <w:rPr>
          <w:lang w:val="en-US"/>
        </w:rPr>
      </w:pPr>
    </w:p>
    <w:p w14:paraId="7A63088A" w14:textId="77777777" w:rsidR="001A3A2E" w:rsidRDefault="001A3A2E" w:rsidP="001A3A2E">
      <w:pPr>
        <w:spacing w:after="160" w:line="259" w:lineRule="auto"/>
        <w:jc w:val="center"/>
        <w:rPr>
          <w:lang w:val="en-US"/>
        </w:rPr>
      </w:pPr>
    </w:p>
    <w:p w14:paraId="1995B27C" w14:textId="77777777" w:rsidR="00703322" w:rsidRDefault="001A3A2E" w:rsidP="00703322">
      <w:pPr>
        <w:spacing w:after="160" w:line="259" w:lineRule="auto"/>
        <w:jc w:val="center"/>
        <w:rPr>
          <w:lang w:val="en-US"/>
        </w:rPr>
      </w:pPr>
      <w:r>
        <w:rPr>
          <w:noProof/>
          <w:lang w:val="en-US"/>
        </w:rPr>
        <w:drawing>
          <wp:inline distT="0" distB="0" distL="0" distR="0" wp14:anchorId="68A91648" wp14:editId="6CFB4186">
            <wp:extent cx="2806224" cy="2244979"/>
            <wp:effectExtent l="0" t="0" r="635" b="3175"/>
            <wp:docPr id="1386024639"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86024639" name="Picture 1386024639"/>
                    <pic:cNvPicPr/>
                  </pic:nvPicPr>
                  <pic:blipFill>
                    <a:blip r:embed="rId8">
                      <a:extLst>
                        <a:ext uri="{28A0092B-C50C-407E-A947-70E740481C1C}">
                          <a14:useLocalDpi xmlns:a14="http://schemas.microsoft.com/office/drawing/2010/main" val="0"/>
                        </a:ext>
                      </a:extLst>
                    </a:blip>
                    <a:stretch>
                      <a:fillRect/>
                    </a:stretch>
                  </pic:blipFill>
                  <pic:spPr>
                    <a:xfrm>
                      <a:off x="0" y="0"/>
                      <a:ext cx="2847359" cy="2277887"/>
                    </a:xfrm>
                    <a:prstGeom prst="rect">
                      <a:avLst/>
                    </a:prstGeom>
                  </pic:spPr>
                </pic:pic>
              </a:graphicData>
            </a:graphic>
          </wp:inline>
        </w:drawing>
      </w:r>
    </w:p>
    <w:p w14:paraId="1DF7B2BD" w14:textId="77777777" w:rsidR="00703322" w:rsidRDefault="00703322" w:rsidP="00703322">
      <w:pPr>
        <w:spacing w:after="160" w:line="259" w:lineRule="auto"/>
        <w:rPr>
          <w:rFonts w:ascii="Menlo" w:hAnsi="Menlo" w:cs="Menlo"/>
          <w:color w:val="D8DEE9"/>
          <w:sz w:val="18"/>
          <w:szCs w:val="18"/>
        </w:rPr>
      </w:pPr>
    </w:p>
    <w:p w14:paraId="24F1EBB9" w14:textId="77777777" w:rsidR="00703322" w:rsidRDefault="00703322" w:rsidP="00703322">
      <w:pPr>
        <w:spacing w:after="160" w:line="259" w:lineRule="auto"/>
        <w:rPr>
          <w:rFonts w:ascii="Menlo" w:hAnsi="Menlo" w:cs="Menlo"/>
          <w:color w:val="D8DEE9"/>
          <w:sz w:val="18"/>
          <w:szCs w:val="18"/>
        </w:rPr>
      </w:pPr>
    </w:p>
    <w:p w14:paraId="17A5DC13" w14:textId="4F8463B5" w:rsidR="00702FCC" w:rsidRPr="00703322" w:rsidRDefault="00702FCC" w:rsidP="00686276">
      <w:pPr>
        <w:spacing w:after="160" w:line="259" w:lineRule="auto"/>
        <w:jc w:val="center"/>
        <w:rPr>
          <w:lang w:val="en-US"/>
        </w:rPr>
      </w:pPr>
      <w:r>
        <w:rPr>
          <w:rFonts w:ascii="Times New Roman" w:hAnsi="Times New Roman"/>
          <w:b/>
          <w:sz w:val="44"/>
        </w:rPr>
        <w:t>This Investment Memo for StoreDot was Automatically Generated by the VC Intelligence System</w:t>
      </w:r>
    </w:p>
    <w:p>
      <w:pPr>
        <w:jc w:val="center"/>
      </w:pPr>
      <w:r>
        <w:rPr>
          <w:rFonts w:ascii="Times New Roman" w:hAnsi="Times New Roman"/>
          <w:sz w:val="28"/>
        </w:rPr>
        <w:t>Prepared on July 13, 2025 at 02:16 PM</w:t>
      </w:r>
    </w:p>
    <w:p w14:paraId="014DC5EA" w14:textId="77777777" w:rsidR="00702FCC" w:rsidRDefault="00702FCC" w:rsidP="001A3A2E">
      <w:pPr>
        <w:spacing w:after="160" w:line="259" w:lineRule="auto"/>
        <w:jc w:val="center"/>
        <w:rPr>
          <w:rFonts w:ascii="Menlo" w:hAnsi="Menlo" w:cs="Menlo"/>
          <w:color w:val="D8DEE9"/>
          <w:sz w:val="18"/>
          <w:szCs w:val="18"/>
        </w:rPr>
      </w:pPr>
    </w:p>
    <w:p w14:paraId="7F965642" w14:textId="77777777" w:rsidR="00702FCC" w:rsidRDefault="00702FCC" w:rsidP="001A3A2E">
      <w:pPr>
        <w:spacing w:after="160" w:line="259" w:lineRule="auto"/>
        <w:jc w:val="center"/>
        <w:rPr>
          <w:rFonts w:ascii="Menlo" w:hAnsi="Menlo" w:cs="Menlo"/>
          <w:color w:val="D8DEE9"/>
          <w:sz w:val="18"/>
          <w:szCs w:val="18"/>
        </w:rPr>
      </w:pPr>
    </w:p>
    <w:p w14:paraId="2B894E95" w14:textId="77777777" w:rsidR="00702FCC" w:rsidRDefault="00702FCC" w:rsidP="001A3A2E">
      <w:pPr>
        <w:spacing w:after="160" w:line="259" w:lineRule="auto"/>
        <w:jc w:val="center"/>
        <w:rPr>
          <w:rFonts w:ascii="Menlo" w:hAnsi="Menlo" w:cs="Menlo"/>
          <w:color w:val="D8DEE9"/>
          <w:sz w:val="18"/>
          <w:szCs w:val="18"/>
        </w:rPr>
      </w:pPr>
    </w:p>
    <w:p w14:paraId="6E22BD3D" w14:textId="77777777" w:rsidR="00702FCC" w:rsidRDefault="00702FCC" w:rsidP="001A3A2E">
      <w:pPr>
        <w:spacing w:after="160" w:line="259" w:lineRule="auto"/>
        <w:jc w:val="center"/>
        <w:rPr>
          <w:rFonts w:ascii="Menlo" w:hAnsi="Menlo" w:cs="Menlo"/>
          <w:color w:val="D8DEE9"/>
          <w:sz w:val="18"/>
          <w:szCs w:val="18"/>
        </w:rPr>
      </w:pPr>
    </w:p>
    <w:p w14:paraId="5B842F05" w14:textId="77777777" w:rsidR="00702FCC" w:rsidRDefault="00702FCC" w:rsidP="001A3A2E">
      <w:pPr>
        <w:spacing w:after="160" w:line="259" w:lineRule="auto"/>
        <w:jc w:val="center"/>
        <w:rPr>
          <w:rFonts w:ascii="Menlo" w:hAnsi="Menlo" w:cs="Menlo"/>
          <w:color w:val="D8DEE9"/>
          <w:sz w:val="18"/>
          <w:szCs w:val="18"/>
        </w:rPr>
      </w:pPr>
    </w:p>
    <w:p w14:paraId="76AD162C" w14:textId="77777777" w:rsidR="00702FCC" w:rsidRDefault="00702FCC" w:rsidP="001A3A2E">
      <w:pPr>
        <w:spacing w:after="160" w:line="259" w:lineRule="auto"/>
        <w:jc w:val="center"/>
        <w:rPr>
          <w:rFonts w:ascii="Menlo" w:hAnsi="Menlo" w:cs="Menlo"/>
          <w:color w:val="D8DEE9"/>
          <w:sz w:val="18"/>
          <w:szCs w:val="18"/>
        </w:rPr>
      </w:pPr>
    </w:p>
    <w:p w14:paraId="3C39B1ED" w14:textId="77777777" w:rsidR="00702FCC" w:rsidRDefault="00702FCC" w:rsidP="001A3A2E">
      <w:pPr>
        <w:spacing w:after="160" w:line="259" w:lineRule="auto"/>
        <w:jc w:val="center"/>
        <w:rPr>
          <w:rFonts w:ascii="Menlo" w:hAnsi="Menlo" w:cs="Menlo"/>
          <w:color w:val="D8DEE9"/>
          <w:sz w:val="18"/>
          <w:szCs w:val="18"/>
        </w:rPr>
      </w:pPr>
    </w:p>
    <w:p w14:paraId="2B1E280D" w14:textId="77777777" w:rsidR="00702FCC" w:rsidRDefault="00702FCC" w:rsidP="001A3A2E">
      <w:pPr>
        <w:spacing w:after="160" w:line="259" w:lineRule="auto"/>
        <w:jc w:val="center"/>
        <w:rPr>
          <w:rFonts w:ascii="Menlo" w:hAnsi="Menlo" w:cs="Menlo"/>
          <w:color w:val="D8DEE9"/>
          <w:sz w:val="18"/>
          <w:szCs w:val="18"/>
        </w:rPr>
      </w:pPr>
    </w:p>
    <w:p w14:paraId="161CFFB7" w14:textId="77777777" w:rsidR="00702FCC" w:rsidRDefault="00702FCC" w:rsidP="001A3A2E">
      <w:pPr>
        <w:spacing w:after="160" w:line="259" w:lineRule="auto"/>
        <w:jc w:val="center"/>
        <w:rPr>
          <w:rFonts w:ascii="Menlo" w:hAnsi="Menlo" w:cs="Menlo"/>
          <w:color w:val="D8DEE9"/>
          <w:sz w:val="18"/>
          <w:szCs w:val="18"/>
        </w:rPr>
      </w:pPr>
    </w:p>
    <w:p w14:paraId="7399C058" w14:textId="77777777" w:rsidR="00702FCC" w:rsidRDefault="00702FCC" w:rsidP="001A3A2E">
      <w:pPr>
        <w:spacing w:after="160" w:line="259" w:lineRule="auto"/>
        <w:jc w:val="center"/>
        <w:rPr>
          <w:rFonts w:ascii="Menlo" w:hAnsi="Menlo" w:cs="Menlo"/>
          <w:color w:val="D8DEE9"/>
          <w:sz w:val="18"/>
          <w:szCs w:val="18"/>
        </w:rPr>
      </w:pPr>
    </w:p>
    <w:p w14:paraId="5D7F161C" w14:textId="77777777" w:rsidR="00702FCC" w:rsidRDefault="00702FCC" w:rsidP="001A3A2E">
      <w:pPr>
        <w:spacing w:after="160" w:line="259" w:lineRule="auto"/>
        <w:jc w:val="center"/>
        <w:rPr>
          <w:rFonts w:ascii="Menlo" w:hAnsi="Menlo" w:cs="Menlo"/>
          <w:color w:val="D8DEE9"/>
          <w:sz w:val="18"/>
          <w:szCs w:val="18"/>
        </w:rPr>
      </w:pPr>
    </w:p>
    <w:p w14:paraId="1EFE5BE7" w14:textId="77777777" w:rsidR="00702FCC" w:rsidRDefault="00702FCC" w:rsidP="001A3A2E">
      <w:pPr>
        <w:spacing w:after="160" w:line="259" w:lineRule="auto"/>
        <w:jc w:val="center"/>
        <w:rPr>
          <w:rFonts w:ascii="Menlo" w:hAnsi="Menlo" w:cs="Menlo"/>
          <w:color w:val="D8DEE9"/>
          <w:sz w:val="18"/>
          <w:szCs w:val="18"/>
        </w:rPr>
      </w:pPr>
    </w:p>
    <w:p w14:paraId="050316B2" w14:textId="77777777" w:rsidR="00702FCC" w:rsidRDefault="00702FCC" w:rsidP="001A3A2E">
      <w:pPr>
        <w:spacing w:after="160" w:line="259" w:lineRule="auto"/>
        <w:jc w:val="center"/>
        <w:rPr>
          <w:rFonts w:ascii="Menlo" w:hAnsi="Menlo" w:cs="Menlo"/>
          <w:color w:val="D8DEE9"/>
          <w:sz w:val="18"/>
          <w:szCs w:val="18"/>
        </w:rPr>
      </w:pPr>
    </w:p>
    <w:p w14:paraId="70D761EC" w14:textId="77777777" w:rsidR="00702FCC" w:rsidRDefault="00702FCC" w:rsidP="001A3A2E">
      <w:pPr>
        <w:spacing w:after="160" w:line="259" w:lineRule="auto"/>
        <w:jc w:val="center"/>
        <w:rPr>
          <w:rFonts w:ascii="Menlo" w:hAnsi="Menlo" w:cs="Menlo"/>
          <w:color w:val="D8DEE9"/>
          <w:sz w:val="18"/>
          <w:szCs w:val="18"/>
        </w:rPr>
      </w:pPr>
    </w:p>
    <w:p w14:paraId="6A64ACF3" w14:textId="77777777" w:rsidR="00CE797F" w:rsidRDefault="00CE797F" w:rsidP="001A3A2E">
      <w:pPr>
        <w:spacing w:after="160" w:line="259" w:lineRule="auto"/>
        <w:jc w:val="center"/>
        <w:rPr>
          <w:rFonts w:ascii="Menlo" w:hAnsi="Menlo" w:cs="Menlo"/>
          <w:color w:val="D8DEE9"/>
          <w:sz w:val="18"/>
          <w:szCs w:val="18"/>
        </w:rPr>
      </w:pPr>
    </w:p>
    <w:p w14:paraId="023D49B4" w14:textId="77777777" w:rsidR="00CE797F" w:rsidRDefault="00CE797F" w:rsidP="001A3A2E">
      <w:pPr>
        <w:spacing w:after="160" w:line="259" w:lineRule="auto"/>
        <w:jc w:val="center"/>
        <w:rPr>
          <w:rFonts w:ascii="Menlo" w:hAnsi="Menlo" w:cs="Menlo"/>
          <w:color w:val="D8DEE9"/>
          <w:sz w:val="18"/>
          <w:szCs w:val="18"/>
        </w:rPr>
      </w:pPr>
    </w:p>
    <w:p w14:paraId="0E6225F1" w14:textId="246BB6DF" w:rsidR="00702FCC" w:rsidRDefault="00702FCC" w:rsidP="00702FCC">
      <w:pPr>
        <w:spacing w:after="160" w:line="360" w:lineRule="auto"/>
        <w:jc w:val="both"/>
        <w:rPr>
          <w:lang w:val="en-US"/>
        </w:rPr>
      </w:pPr>
      <w:r>
        <w:rPr>
          <w:rFonts w:ascii="Times New Roman" w:hAnsi="Times New Roman"/>
          <w:sz w:val="24"/>
        </w:rPr>
        <w:t>INVESTMENT MEMORANDUM – StoreDot</w:t>
      </w:r>
    </w:p>
    <w:p>
      <w:pPr>
        <w:spacing w:line="360" w:lineRule="auto"/>
        <w:jc w:val="both"/>
      </w:pPr>
      <w:r>
        <w:rPr>
          <w:rFonts w:ascii="Times New Roman" w:hAnsi="Times New Roman"/>
          <w:sz w:val="24"/>
        </w:rPr>
        <w:t>(Prepared July 13, 2025)</w:t>
      </w:r>
    </w:p>
    <w:p>
      <w:pPr>
        <w:spacing w:line="360" w:lineRule="auto"/>
        <w:jc w:val="both"/>
      </w:pPr>
      <w:r>
        <w:rPr>
          <w:rFonts w:ascii="Times New Roman" w:hAnsi="Times New Roman"/>
          <w:b/>
          <w:sz w:val="24"/>
        </w:rPr>
        <w:t>1. DETAILED SUMMARY</w:t>
      </w:r>
    </w:p>
    <w:p>
      <w:pPr>
        <w:spacing w:line="360" w:lineRule="auto"/>
        <w:jc w:val="both"/>
      </w:pPr>
      <w:r>
        <w:rPr>
          <w:rFonts w:ascii="Times New Roman" w:hAnsi="Times New Roman"/>
          <w:sz w:val="24"/>
        </w:rPr>
        <w:t>============================================================</w:t>
      </w:r>
    </w:p>
    <w:p>
      <w:pPr>
        <w:spacing w:line="360" w:lineRule="auto"/>
        <w:jc w:val="both"/>
      </w:pPr>
      <w:r>
        <w:rPr>
          <w:rFonts w:ascii="Times New Roman" w:hAnsi="Times New Roman"/>
          <w:sz w:val="24"/>
        </w:rPr>
        <w:t>StoreDot, founded by Doron Myersdorf, is a deep-tech battery technology company focused on enabling mass EV adoption through extreme fast charging (XFC) batteries. Their proprietary silicon-dominant anode lithium-ion technology allows EVs to charge 100 miles in 5-10 minutes, a significant improvement over current solutions. The business model centers on licensing scalable, drop-in compatible battery tech to OEMs and manufacturing partners, with commercial readiness targeted for 2025. StoreDot's go-to-market strategy leverages partnerships with over 15 OEMs and a strong patent portfolio (78 granted US patents), positioning the company as a critical enabler for overcoming charging anxiety and infrastructure limitations.</w:t>
      </w:r>
    </w:p>
    <w:p>
      <w:pPr>
        <w:spacing w:line="360" w:lineRule="auto"/>
        <w:jc w:val="both"/>
      </w:pPr>
      <w:r>
        <w:rPr>
          <w:rFonts w:ascii="Times New Roman" w:hAnsi="Times New Roman"/>
          <w:sz w:val="24"/>
        </w:rPr>
        <w:t>2. COMPANY OVERVIEW (including team and website)</w:t>
      </w:r>
    </w:p>
    <w:p>
      <w:pPr>
        <w:spacing w:line="360" w:lineRule="auto"/>
        <w:jc w:val="both"/>
      </w:pPr>
      <w:r>
        <w:rPr>
          <w:rFonts w:ascii="Times New Roman" w:hAnsi="Times New Roman"/>
          <w:sz w:val="24"/>
        </w:rPr>
        <w:t>Company: StoreDot</w:t>
      </w:r>
    </w:p>
    <w:p>
      <w:pPr>
        <w:spacing w:line="360" w:lineRule="auto"/>
        <w:jc w:val="both"/>
      </w:pPr>
      <w:r>
        <w:rPr>
          <w:rFonts w:ascii="Times New Roman" w:hAnsi="Times New Roman"/>
          <w:sz w:val="24"/>
        </w:rPr>
        <w:t>Sector: Battery Technology</w:t>
      </w:r>
    </w:p>
    <w:p>
      <w:pPr>
        <w:spacing w:line="360" w:lineRule="auto"/>
        <w:jc w:val="both"/>
      </w:pPr>
      <w:r>
        <w:rPr>
          <w:rFonts w:ascii="Times New Roman" w:hAnsi="Times New Roman"/>
          <w:sz w:val="24"/>
        </w:rPr>
        <w:t>Website: The official website for the company StoreDot is https://storedot.com</w:t>
      </w:r>
    </w:p>
    <w:p>
      <w:pPr>
        <w:spacing w:line="360" w:lineRule="auto"/>
        <w:jc w:val="both"/>
      </w:pPr>
      <w:r>
        <w:rPr>
          <w:rFonts w:ascii="Times New Roman" w:hAnsi="Times New Roman"/>
          <w:sz w:val="24"/>
        </w:rPr>
        <w:t>Funding Stage: unknown</w:t>
      </w:r>
    </w:p>
    <w:p>
      <w:pPr>
        <w:spacing w:line="360" w:lineRule="auto"/>
        <w:jc w:val="both"/>
      </w:pPr>
      <w:r>
        <w:rPr>
          <w:rFonts w:ascii="Times New Roman" w:hAnsi="Times New Roman"/>
          <w:sz w:val="24"/>
        </w:rPr>
        <w:t>Team: Doron Myersdorf</w:t>
      </w:r>
    </w:p>
    <w:p>
      <w:pPr>
        <w:spacing w:line="360" w:lineRule="auto"/>
        <w:jc w:val="both"/>
      </w:pPr>
      <w:r>
        <w:rPr>
          <w:rFonts w:ascii="Times New Roman" w:hAnsi="Times New Roman"/>
          <w:b/>
          <w:sz w:val="24"/>
        </w:rPr>
        <w:t>3. PROBLEM STATEMENT</w:t>
      </w:r>
    </w:p>
    <w:p>
      <w:pPr>
        <w:spacing w:line="360" w:lineRule="auto"/>
        <w:jc w:val="both"/>
      </w:pPr>
      <w:r>
        <w:rPr>
          <w:rFonts w:ascii="Times New Roman" w:hAnsi="Times New Roman"/>
          <w:sz w:val="24"/>
        </w:rPr>
        <w:t>A major barrier to electric vehicle (EV) adoption is range anxiety—the fear that an EV cannot travel far enough on a single charge—and the inconvenience of slow charging speeds. Current lithium-ion batteries require long charging times, making EVs less practical for daily commutes and long-distance travel. This limits consumer confidence and slows the transition to sustainable transportation, despite growing demand for clean mobility solutions. Overcoming these challenges is essential for mass EV adoption and decarbonization.</w:t>
      </w:r>
    </w:p>
    <w:p>
      <w:pPr>
        <w:spacing w:line="360" w:lineRule="auto"/>
        <w:jc w:val="both"/>
      </w:pPr>
      <w:r>
        <w:rPr>
          <w:rFonts w:ascii="Times New Roman" w:hAnsi="Times New Roman"/>
          <w:b/>
          <w:sz w:val="24"/>
        </w:rPr>
        <w:t>4. SOLUTION OVERVIEW</w:t>
      </w:r>
    </w:p>
    <w:p>
      <w:pPr>
        <w:spacing w:line="360" w:lineRule="auto"/>
        <w:jc w:val="both"/>
      </w:pPr>
      <w:r>
        <w:rPr>
          <w:rFonts w:ascii="Times New Roman" w:hAnsi="Times New Roman"/>
          <w:sz w:val="24"/>
        </w:rPr>
        <w:t>StoreDot’s ultra-fast charging batteries leverage proprietary silicon-dominant anode technology to enable EVs to recharge 100 miles in 5-10 minutes. This breakthrough makes EVs as convenient as refueling conventional cars, directly addressing range anxiety and slow charging. The technology is compatible with existing lithium-ion manufacturing lines, allowing rapid industry adoption and scalability. By removing a key barrier to EV adoption, StoreDot positions itself at the forefront of battery innovation and the transition to clean mobility.</w:t>
      </w:r>
    </w:p>
    <w:p>
      <w:pPr>
        <w:spacing w:line="360" w:lineRule="auto"/>
        <w:jc w:val="both"/>
      </w:pPr>
      <w:r>
        <w:rPr>
          <w:rFonts w:ascii="Times New Roman" w:hAnsi="Times New Roman"/>
          <w:b/>
          <w:sz w:val="24"/>
        </w:rPr>
        <w:t>5. MARKET SIZE &amp; ANALYSIS</w:t>
      </w:r>
    </w:p>
    <w:p>
      <w:pPr>
        <w:spacing w:line="360" w:lineRule="auto"/>
        <w:jc w:val="both"/>
      </w:pPr>
      <w:r>
        <w:rPr>
          <w:rFonts w:ascii="Times New Roman" w:hAnsi="Times New Roman"/>
          <w:sz w:val="24"/>
        </w:rPr>
        <w:t>TAM: $120000.0M (Source: StoreDot April 2023 Corporate Overview)</w:t>
      </w:r>
    </w:p>
    <w:p>
      <w:pPr>
        <w:spacing w:line="360" w:lineRule="auto"/>
        <w:jc w:val="both"/>
      </w:pPr>
      <w:r>
        <w:rPr>
          <w:rFonts w:ascii="Times New Roman" w:hAnsi="Times New Roman"/>
          <w:sz w:val="24"/>
        </w:rPr>
        <w:t>SAM: $35000.0M (Source: StoreDot April 2023 Corporate Overview)</w:t>
      </w:r>
    </w:p>
    <w:p>
      <w:pPr>
        <w:spacing w:line="360" w:lineRule="auto"/>
        <w:jc w:val="both"/>
      </w:pPr>
      <w:r>
        <w:rPr>
          <w:rFonts w:ascii="Times New Roman" w:hAnsi="Times New Roman"/>
          <w:sz w:val="24"/>
        </w:rPr>
        <w:t>SOM: $7000.0M (Source: StoreDot April 2023 Corporate Overview)</w:t>
      </w:r>
    </w:p>
    <w:p>
      <w:pPr>
        <w:spacing w:line="360" w:lineRule="auto"/>
        <w:jc w:val="both"/>
      </w:pPr>
      <w:r>
        <w:rPr>
          <w:rFonts w:ascii="Times New Roman" w:hAnsi="Times New Roman"/>
          <w:sz w:val="24"/>
        </w:rPr>
        <w:t>Market Penetration Potential: 5.8%</w:t>
      </w:r>
    </w:p>
    <w:p>
      <w:pPr>
        <w:spacing w:line="360" w:lineRule="auto"/>
        <w:jc w:val="both"/>
      </w:pPr>
      <w:r>
        <w:rPr>
          <w:rFonts w:ascii="Times New Roman" w:hAnsi="Times New Roman"/>
          <w:sz w:val="24"/>
        </w:rPr>
        <w:t>Battery Technology</w:t>
      </w:r>
    </w:p>
    <w:p>
      <w:pPr>
        <w:spacing w:line="360" w:lineRule="auto"/>
        <w:jc w:val="both"/>
      </w:pPr>
      <w:r>
        <w:rPr>
          <w:rFonts w:ascii="Times New Roman" w:hAnsi="Times New Roman"/>
          <w:sz w:val="24"/>
        </w:rPr>
        <w:t>--- Extracted Tables ---</w:t>
      </w:r>
    </w:p>
    <w:p>
      <w:pPr>
        <w:spacing w:line="360" w:lineRule="auto"/>
        <w:jc w:val="both"/>
      </w:pPr>
      <w:r>
        <w:rPr>
          <w:rFonts w:ascii="Times New Roman" w:hAnsi="Times New Roman"/>
          <w:sz w:val="24"/>
        </w:rPr>
        <w:t>No tables extracted.</w:t>
      </w:r>
    </w:p>
    <w:p>
      <w:pPr>
        <w:spacing w:line="360" w:lineRule="auto"/>
        <w:jc w:val="both"/>
      </w:pPr>
      <w:r>
        <w:rPr>
          <w:rFonts w:ascii="Times New Roman" w:hAnsi="Times New Roman"/>
          <w:sz w:val="24"/>
        </w:rPr>
        <w:t>6. COMPETITIVE LANDSCAPE (with identified competitors)</w:t>
      </w:r>
    </w:p>
    <w:p>
      <w:pPr>
        <w:spacing w:line="360" w:lineRule="auto"/>
        <w:jc w:val="both"/>
      </w:pPr>
      <w:r>
        <w:rPr>
          <w:rFonts w:ascii="Times New Roman" w:hAnsi="Times New Roman"/>
          <w:sz w:val="24"/>
        </w:rPr>
        <w:t>QuantumScape: Developing solid-state lithium-metal batteries promising higher energy density and faster charging times..</w:t>
      </w:r>
    </w:p>
    <w:p>
      <w:pPr>
        <w:spacing w:line="360" w:lineRule="auto"/>
        <w:jc w:val="both"/>
      </w:pPr>
      <w:r>
        <w:rPr>
          <w:rFonts w:ascii="Times New Roman" w:hAnsi="Times New Roman"/>
          <w:sz w:val="24"/>
        </w:rPr>
        <w:t>Sila Nanotechnologies: Innovates silicon-based anode materials to significantly increase battery capacity and performance..</w:t>
      </w:r>
    </w:p>
    <w:p>
      <w:pPr>
        <w:spacing w:line="360" w:lineRule="auto"/>
        <w:jc w:val="both"/>
      </w:pPr>
      <w:r>
        <w:rPr>
          <w:rFonts w:ascii="Times New Roman" w:hAnsi="Times New Roman"/>
          <w:sz w:val="24"/>
        </w:rPr>
        <w:t>Solid Power: Focuses on all-solid-state battery technology with scalable manufacturing processes targeting automotive applications..</w:t>
      </w:r>
    </w:p>
    <w:p>
      <w:pPr>
        <w:spacing w:line="360" w:lineRule="auto"/>
        <w:jc w:val="both"/>
      </w:pPr>
      <w:r>
        <w:rPr>
          <w:rFonts w:ascii="Times New Roman" w:hAnsi="Times New Roman"/>
          <w:b/>
          <w:sz w:val="24"/>
        </w:rPr>
        <w:t>7. BUSINESS MODEL</w:t>
      </w:r>
    </w:p>
    <w:p>
      <w:pPr>
        <w:spacing w:line="360" w:lineRule="auto"/>
        <w:jc w:val="both"/>
      </w:pPr>
      <w:r>
        <w:rPr>
          <w:rFonts w:ascii="Times New Roman" w:hAnsi="Times New Roman"/>
          <w:sz w:val="24"/>
        </w:rPr>
        <w:t>StoreDot is a battery technology startup focused on enabling extreme fast charging (XFC) for electric vehicles (EVs), aiming to eliminate "charging anxiety" by delivering a 100-mile charge in 5 minutes with their proprietary silicon-dominant anode lithium-ion cells. Their business model centers on licensing this scalable, drop-in compatible battery technology to OEMs and manufacturing partners, leveraging existing lithium-ion production lines to reduce capital expenditure and accelerate market adoption. Key customer segments include EV manufacturers and battery producers seeking to differentiate on charging speed and performance. StoreDot’s go-to-market strategy involves ongoing testing and partnerships with over 15 OEMs worldwide, targeting commercial readiness by 2025, positioning themselves ahead of competing battery chemistries that are less mature or require higher CAPEX. The technology’s scalability, patent portfolio, and alignment with industry timelines suggest strong growth potential as EV adoption accelerates globally. No recent pivots were noted; the company continues to advance its roadmap toward semi-solid and post-lithium batteries for 2028 and beyond.</w:t>
      </w:r>
    </w:p>
    <w:p>
      <w:pPr>
        <w:spacing w:line="360" w:lineRule="auto"/>
        <w:jc w:val="both"/>
      </w:pPr>
      <w:r>
        <w:rPr>
          <w:rFonts w:ascii="Times New Roman" w:hAnsi="Times New Roman"/>
          <w:sz w:val="24"/>
        </w:rPr>
        <w:t>Sources: StoreDot April 2023 Corporate Overview; UBS Global Electric Vehicle Battery Makers report (cited); StoreDot patent and technology disclosures.</w:t>
      </w:r>
    </w:p>
    <w:p>
      <w:pPr>
        <w:spacing w:line="360" w:lineRule="auto"/>
        <w:jc w:val="both"/>
      </w:pPr>
      <w:r>
        <w:rPr>
          <w:rFonts w:ascii="Times New Roman" w:hAnsi="Times New Roman"/>
          <w:b/>
          <w:sz w:val="24"/>
        </w:rPr>
        <w:t>8. TECHNICAL DUE DILIGENCE</w:t>
      </w:r>
    </w:p>
    <w:p>
      <w:pPr>
        <w:spacing w:line="360" w:lineRule="auto"/>
        <w:jc w:val="both"/>
      </w:pPr>
      <w:r>
        <w:rPr>
          <w:rFonts w:ascii="Times New Roman" w:hAnsi="Times New Roman"/>
          <w:sz w:val="24"/>
        </w:rPr>
        <w:t>Maturity Level: production</w:t>
      </w:r>
    </w:p>
    <w:p>
      <w:pPr>
        <w:spacing w:line="360" w:lineRule="auto"/>
        <w:jc w:val="both"/>
      </w:pPr>
      <w:r>
        <w:rPr>
          <w:rFonts w:ascii="Times New Roman" w:hAnsi="Times New Roman"/>
          <w:sz w:val="24"/>
        </w:rPr>
        <w:t>Technical Moat: StoreDot has a 3-5 years' lead on alternative solutions with extreme fast charging capability and a strong patent portfolio.</w:t>
      </w:r>
    </w:p>
    <w:p>
      <w:pPr>
        <w:spacing w:line="360" w:lineRule="auto"/>
        <w:jc w:val="both"/>
      </w:pPr>
      <w:r>
        <w:rPr>
          <w:rFonts w:ascii="Times New Roman" w:hAnsi="Times New Roman"/>
          <w:sz w:val="24"/>
        </w:rPr>
        <w:t>Tech Stack: N/A</w:t>
      </w:r>
    </w:p>
    <w:p>
      <w:pPr>
        <w:spacing w:line="360" w:lineRule="auto"/>
        <w:jc w:val="both"/>
      </w:pPr>
      <w:r>
        <w:rPr>
          <w:rFonts w:ascii="Times New Roman" w:hAnsi="Times New Roman"/>
          <w:sz w:val="24"/>
        </w:rPr>
        <w:t>Scalability:</w:t>
      </w:r>
    </w:p>
    <w:p>
      <w:pPr>
        <w:spacing w:line="360" w:lineRule="auto"/>
        <w:jc w:val="both"/>
      </w:pPr>
      <w:r>
        <w:rPr>
          <w:rFonts w:ascii="Times New Roman" w:hAnsi="Times New Roman"/>
          <w:sz w:val="24"/>
        </w:rPr>
        <w:t>Security:</w:t>
      </w:r>
    </w:p>
    <w:p>
      <w:pPr>
        <w:spacing w:line="360" w:lineRule="auto"/>
        <w:jc w:val="both"/>
      </w:pPr>
      <w:r>
        <w:rPr>
          <w:rFonts w:ascii="Times New Roman" w:hAnsi="Times New Roman"/>
          <w:b/>
          <w:sz w:val="24"/>
        </w:rPr>
        <w:t>9. PRODUCT DESCRIPTION</w:t>
      </w:r>
    </w:p>
    <w:p>
      <w:pPr>
        <w:spacing w:line="360" w:lineRule="auto"/>
        <w:jc w:val="both"/>
      </w:pPr>
      <w:r>
        <w:rPr>
          <w:rFonts w:ascii="Times New Roman" w:hAnsi="Times New Roman"/>
          <w:sz w:val="24"/>
        </w:rPr>
        <w:t>StoreDot has a 3-5 years' lead on alternative solutions with extreme fast charging capability and a strong patent portfolio.</w:t>
      </w:r>
    </w:p>
    <w:p>
      <w:pPr>
        <w:spacing w:line="360" w:lineRule="auto"/>
        <w:jc w:val="both"/>
      </w:pPr>
      <w:r>
        <w:rPr>
          <w:rFonts w:ascii="Times New Roman" w:hAnsi="Times New Roman"/>
          <w:sz w:val="24"/>
        </w:rPr>
        <w:t>10. FINANCIAL ANALYSIS (with commentary on data availability)</w:t>
      </w:r>
    </w:p>
    <w:p>
      <w:pPr>
        <w:spacing w:line="360" w:lineRule="auto"/>
        <w:jc w:val="both"/>
      </w:pPr>
      <w:r>
        <w:rPr>
          <w:rFonts w:ascii="Times New Roman" w:hAnsi="Times New Roman"/>
          <w:sz w:val="24"/>
        </w:rPr>
        <w:t>Implied Valuation: $N/AM</w:t>
      </w:r>
    </w:p>
    <w:p>
      <w:pPr>
        <w:spacing w:line="360" w:lineRule="auto"/>
        <w:jc w:val="both"/>
      </w:pPr>
      <w:r>
        <w:rPr>
          <w:rFonts w:ascii="Times New Roman" w:hAnsi="Times New Roman"/>
          <w:sz w:val="24"/>
        </w:rPr>
        <w:t>Cash Burn (12 months): $N/AM</w:t>
      </w:r>
    </w:p>
    <w:p>
      <w:pPr>
        <w:spacing w:line="360" w:lineRule="auto"/>
        <w:jc w:val="both"/>
      </w:pPr>
      <w:r>
        <w:rPr>
          <w:rFonts w:ascii="Times New Roman" w:hAnsi="Times New Roman"/>
          <w:sz w:val="24"/>
        </w:rPr>
        <w:t>Runway: 0 months</w:t>
      </w:r>
    </w:p>
    <w:p>
      <w:pPr>
        <w:spacing w:line="360" w:lineRule="auto"/>
        <w:jc w:val="both"/>
      </w:pPr>
      <w:r>
        <w:rPr>
          <w:rFonts w:ascii="Times New Roman" w:hAnsi="Times New Roman"/>
          <w:sz w:val="24"/>
        </w:rPr>
        <w:t>Valuation Multiple: 0.0</w:t>
      </w:r>
    </w:p>
    <w:p>
      <w:pPr>
        <w:spacing w:line="360" w:lineRule="auto"/>
        <w:jc w:val="both"/>
      </w:pPr>
      <w:r>
        <w:rPr>
          <w:rFonts w:ascii="Times New Roman" w:hAnsi="Times New Roman"/>
          <w:sz w:val="24"/>
        </w:rPr>
        <w:t>Financial data is unavailable.</w:t>
      </w:r>
    </w:p>
    <w:p>
      <w:pPr>
        <w:spacing w:line="360" w:lineRule="auto"/>
        <w:jc w:val="both"/>
      </w:pPr>
      <w:r>
        <w:rPr>
          <w:rFonts w:ascii="Times New Roman" w:hAnsi="Times New Roman"/>
          <w:sz w:val="24"/>
        </w:rPr>
        <w:t>--- Extracted Tables (Financial) ---</w:t>
      </w:r>
    </w:p>
    <w:p>
      <w:pPr>
        <w:spacing w:line="360" w:lineRule="auto"/>
        <w:jc w:val="both"/>
      </w:pPr>
      <w:r>
        <w:rPr>
          <w:rFonts w:ascii="Times New Roman" w:hAnsi="Times New Roman"/>
          <w:b/>
          <w:sz w:val="24"/>
        </w:rPr>
        <w:t>11. TEAM &amp; MANAGEMENT</w:t>
      </w:r>
    </w:p>
    <w:p>
      <w:pPr>
        <w:spacing w:line="360" w:lineRule="auto"/>
        <w:jc w:val="both"/>
      </w:pPr>
      <w:r>
        <w:rPr>
          <w:rFonts w:ascii="Times New Roman" w:hAnsi="Times New Roman"/>
          <w:sz w:val="24"/>
        </w:rPr>
        <w:t>Founder: Doron Myersdorf</w:t>
      </w:r>
    </w:p>
    <w:p>
      <w:pPr>
        <w:spacing w:line="360" w:lineRule="auto"/>
        <w:jc w:val="both"/>
      </w:pPr>
      <w:r>
        <w:rPr>
          <w:rFonts w:ascii="Times New Roman" w:hAnsi="Times New Roman"/>
          <w:sz w:val="24"/>
        </w:rPr>
        <w:t>Founder Fit Score: 0.8 / 1.0</w:t>
      </w:r>
    </w:p>
    <w:p>
      <w:pPr>
        <w:spacing w:line="360" w:lineRule="auto"/>
        <w:jc w:val="both"/>
      </w:pPr>
      <w:r>
        <w:rPr>
          <w:rFonts w:ascii="Times New Roman" w:hAnsi="Times New Roman"/>
          <w:sz w:val="24"/>
        </w:rPr>
        <w:t>Prior Exits: 2</w:t>
      </w:r>
    </w:p>
    <w:p>
      <w:pPr>
        <w:spacing w:line="360" w:lineRule="auto"/>
        <w:jc w:val="both"/>
      </w:pPr>
      <w:r>
        <w:rPr>
          <w:rFonts w:ascii="Times New Roman" w:hAnsi="Times New Roman"/>
          <w:sz w:val="24"/>
        </w:rPr>
        <w:t>Sector Experience: Battery Technology</w:t>
      </w:r>
    </w:p>
    <w:p>
      <w:pPr>
        <w:spacing w:line="360" w:lineRule="auto"/>
        <w:jc w:val="both"/>
      </w:pPr>
      <w:r>
        <w:rPr>
          <w:rFonts w:ascii="Times New Roman" w:hAnsi="Times New Roman"/>
          <w:b/>
          <w:sz w:val="24"/>
        </w:rPr>
        <w:t>12. ESG CONSIDERATIONS</w:t>
      </w:r>
    </w:p>
    <w:p>
      <w:pPr>
        <w:spacing w:line="360" w:lineRule="auto"/>
        <w:jc w:val="both"/>
      </w:pPr>
      <w:r>
        <w:rPr>
          <w:rFonts w:ascii="Times New Roman" w:hAnsi="Times New Roman"/>
          <w:sz w:val="24"/>
        </w:rPr>
        <w:t>StoreDot is a battery technology startup focused on enabling extreme fast charging (XFC) for electric vehicles (EVs), aiming to address key barriers to EV adoption such as charging speed and infrastructure limitations. Their technology promises charging times of around 10 minutes with minimal battery degradation, leveraging scalable, lithium-ion compatible chemistries with reduced cobalt content, aligning with sustainability goals by potentially lowering reliance on critical raw materials. Social impact is implicit in accelerating EV adoption, which supports reduced emissions and cleaner transportation, although explicit community or labor practices data is limited. Governance appears robust with experienced leadership from automotive and tech sectors and a strong patent portfolio, but detailed ESG governance policies or diversity metrics are not provided. No recent ESG controversies or negative news were found in available sources, though further data on supply chain ethics, lifecycle environmental impact, and regulatory compliance specifics would enhance the ESG assessment.</w:t>
      </w:r>
    </w:p>
    <w:p>
      <w:pPr>
        <w:spacing w:line="360" w:lineRule="auto"/>
        <w:jc w:val="both"/>
      </w:pPr>
      <w:r>
        <w:rPr>
          <w:rFonts w:ascii="Times New Roman" w:hAnsi="Times New Roman"/>
          <w:sz w:val="24"/>
        </w:rPr>
        <w:t>Sources: StoreDot April 2023 Corporate Overview; UBS Global Electric Vehicle Battery Makers report; internal patent and leadership disclosures.</w:t>
      </w:r>
    </w:p>
    <w:p>
      <w:pPr>
        <w:spacing w:line="360" w:lineRule="auto"/>
        <w:jc w:val="both"/>
      </w:pPr>
      <w:r>
        <w:rPr>
          <w:rFonts w:ascii="Times New Roman" w:hAnsi="Times New Roman"/>
          <w:b/>
          <w:sz w:val="24"/>
        </w:rPr>
        <w:t>13. RISKS &amp; MITIGATIONS</w:t>
      </w:r>
    </w:p>
    <w:p>
      <w:pPr>
        <w:spacing w:line="360" w:lineRule="auto"/>
        <w:jc w:val="both"/>
      </w:pPr>
      <w:r>
        <w:rPr>
          <w:rFonts w:ascii="Times New Roman" w:hAnsi="Times New Roman"/>
          <w:sz w:val="24"/>
        </w:rPr>
        <w:t>Overall Risk Level: HIGH</w:t>
      </w:r>
    </w:p>
    <w:p>
      <w:pPr>
        <w:spacing w:line="360" w:lineRule="auto"/>
        <w:jc w:val="both"/>
      </w:pPr>
      <w:r>
        <w:rPr>
          <w:rFonts w:ascii="Times New Roman" w:hAnsi="Times New Roman"/>
          <w:sz w:val="24"/>
        </w:rPr>
        <w:t>Risk Score: N/A / 1.0</w:t>
      </w:r>
    </w:p>
    <w:p>
      <w:pPr>
        <w:spacing w:line="360" w:lineRule="auto"/>
        <w:jc w:val="both"/>
      </w:pPr>
      <w:r>
        <w:rPr>
          <w:rFonts w:ascii="Times New Roman" w:hAnsi="Times New Roman"/>
          <w:sz w:val="24"/>
        </w:rPr>
        <w:t>IDENTIFIED RISKS:</w:t>
      </w:r>
    </w:p>
    <w:p>
      <w:pPr>
        <w:spacing w:line="360" w:lineRule="auto"/>
        <w:jc w:val="both"/>
      </w:pPr>
      <w:r>
        <w:rPr>
          <w:rFonts w:ascii="Times New Roman" w:hAnsi="Times New Roman"/>
          <w:sz w:val="24"/>
        </w:rPr>
        <w:t>1. Market competition</w:t>
      </w:r>
    </w:p>
    <w:p>
      <w:pPr>
        <w:spacing w:line="360" w:lineRule="auto"/>
        <w:jc w:val="both"/>
      </w:pPr>
      <w:r>
        <w:rPr>
          <w:rFonts w:ascii="Times New Roman" w:hAnsi="Times New Roman"/>
          <w:sz w:val="24"/>
        </w:rPr>
        <w:t>2. Financial health</w:t>
      </w:r>
    </w:p>
    <w:p>
      <w:pPr>
        <w:spacing w:line="360" w:lineRule="auto"/>
        <w:jc w:val="both"/>
      </w:pPr>
      <w:r>
        <w:rPr>
          <w:rFonts w:ascii="Times New Roman" w:hAnsi="Times New Roman"/>
          <w:sz w:val="24"/>
        </w:rPr>
        <w:t>3. Regulatory risks</w:t>
      </w:r>
    </w:p>
    <w:p>
      <w:pPr>
        <w:spacing w:line="360" w:lineRule="auto"/>
        <w:jc w:val="both"/>
      </w:pPr>
      <w:r>
        <w:rPr>
          <w:rFonts w:ascii="Times New Roman" w:hAnsi="Times New Roman"/>
          <w:b/>
          <w:sz w:val="24"/>
        </w:rPr>
        <w:t>14. INVESTMENT &amp; EXIT STRATEGIES</w:t>
      </w:r>
    </w:p>
    <w:p>
      <w:pPr>
        <w:spacing w:line="360" w:lineRule="auto"/>
        <w:jc w:val="both"/>
      </w:pPr>
      <w:r>
        <w:rPr>
          <w:rFonts w:ascii="Times New Roman" w:hAnsi="Times New Roman"/>
          <w:sz w:val="24"/>
        </w:rPr>
        <w:t>Based on the information provided, StoreDot's extreme fast charging battery technology for EVs has the potential for a successful exit strategy. With a 3-5 year lead on alternative solutions and commercially ready by 2025, StoreDot could attract interest from major OEMs and manufacturing partners for acquisition. The technology's scalability, compatibility with existing manufacturing lines, and competitive cost structure make it an attractive target for acquisition or licensing. An IPO could also be a viable exit strategy, depending on market conditions and the company's growth trajectory. Additional information needed for a more detailed analysis includes financial data, market traction, and potential competitors in the space.</w:t>
      </w:r>
    </w:p>
    <w:p>
      <w:pPr>
        <w:spacing w:line="360" w:lineRule="auto"/>
        <w:jc w:val="both"/>
      </w:pPr>
      <w:r>
        <w:rPr>
          <w:rFonts w:ascii="Times New Roman" w:hAnsi="Times New Roman"/>
          <w:sz w:val="24"/>
        </w:rPr>
        <w:t>15. FOLLOW-UP QUESTIONS &amp; NEXT STEPS</w:t>
      </w:r>
    </w:p>
    <w:p>
      <w:pPr>
        <w:spacing w:line="360" w:lineRule="auto"/>
        <w:jc w:val="both"/>
      </w:pPr>
      <w:r>
        <w:rPr>
          <w:rFonts w:ascii="Times New Roman" w:hAnsi="Times New Roman"/>
          <w:sz w:val="24"/>
        </w:rPr>
        <w:t>- **Technology Validation &amp; IP**</w:t>
      </w:r>
    </w:p>
    <w:p>
      <w:pPr>
        <w:spacing w:line="360" w:lineRule="auto"/>
        <w:jc w:val="both"/>
      </w:pPr>
      <w:r>
        <w:rPr>
          <w:rFonts w:ascii="Times New Roman" w:hAnsi="Times New Roman"/>
          <w:sz w:val="24"/>
        </w:rPr>
        <w:t>- Request detailed third-party test reports validating the 10-minute charging claim and &gt;1200 cycle life under extreme fast charging conditions.</w:t>
      </w:r>
    </w:p>
    <w:p>
      <w:pPr>
        <w:spacing w:line="360" w:lineRule="auto"/>
        <w:jc w:val="both"/>
      </w:pPr>
      <w:r>
        <w:rPr>
          <w:rFonts w:ascii="Times New Roman" w:hAnsi="Times New Roman"/>
          <w:sz w:val="24"/>
        </w:rPr>
        <w:t>- Clarify the scope and geographic coverage of the 78 granted and 22 pending patents; assess potential IP risks or overlaps.</w:t>
      </w:r>
    </w:p>
    <w:p>
      <w:pPr>
        <w:spacing w:line="360" w:lineRule="auto"/>
        <w:jc w:val="both"/>
      </w:pPr>
      <w:r>
        <w:rPr>
          <w:rFonts w:ascii="Times New Roman" w:hAnsi="Times New Roman"/>
          <w:sz w:val="24"/>
        </w:rPr>
        <w:t>- Understand any dependencies on proprietary materials or rare elements that could impact supply chain or cost.</w:t>
      </w:r>
    </w:p>
    <w:p>
      <w:pPr>
        <w:spacing w:line="360" w:lineRule="auto"/>
        <w:jc w:val="both"/>
      </w:pPr>
      <w:r>
        <w:rPr>
          <w:rFonts w:ascii="Times New Roman" w:hAnsi="Times New Roman"/>
          <w:sz w:val="24"/>
        </w:rPr>
        <w:t>- **OEM &amp; Manufacturing Partnerships**</w:t>
      </w:r>
    </w:p>
    <w:p>
      <w:pPr>
        <w:spacing w:line="360" w:lineRule="auto"/>
        <w:jc w:val="both"/>
      </w:pPr>
      <w:r>
        <w:rPr>
          <w:rFonts w:ascii="Times New Roman" w:hAnsi="Times New Roman"/>
          <w:sz w:val="24"/>
        </w:rPr>
        <w:t>- Obtain a list of the &gt;15 OEMs and manufacturing partners currently testing the 100in5 cells, including stage of engagement and feedback.</w:t>
      </w:r>
    </w:p>
    <w:p>
      <w:pPr>
        <w:spacing w:line="360" w:lineRule="auto"/>
        <w:jc w:val="both"/>
      </w:pPr>
      <w:r>
        <w:rPr>
          <w:rFonts w:ascii="Times New Roman" w:hAnsi="Times New Roman"/>
          <w:sz w:val="24"/>
        </w:rPr>
        <w:t>- Confirm commercial agreements or MoUs with OEMs and manufacturing partners; clarify exclusivity or licensing terms.</w:t>
      </w:r>
    </w:p>
    <w:p>
      <w:pPr>
        <w:spacing w:line="360" w:lineRule="auto"/>
        <w:jc w:val="both"/>
      </w:pPr>
      <w:r>
        <w:rPr>
          <w:rFonts w:ascii="Times New Roman" w:hAnsi="Times New Roman"/>
          <w:sz w:val="24"/>
        </w:rPr>
        <w:t>- Assess readiness and timeline for scaling production in existing Li-ion lines—capacity, location, and capital expenditure required.</w:t>
      </w:r>
    </w:p>
    <w:p>
      <w:pPr>
        <w:spacing w:line="360" w:lineRule="auto"/>
        <w:jc w:val="both"/>
      </w:pPr>
      <w:r>
        <w:rPr>
          <w:rFonts w:ascii="Times New Roman" w:hAnsi="Times New Roman"/>
          <w:sz w:val="24"/>
        </w:rPr>
        <w:t>- **Technology Roadmap &amp; Competitive Landscape**</w:t>
      </w:r>
    </w:p>
    <w:p>
      <w:pPr>
        <w:spacing w:line="360" w:lineRule="auto"/>
        <w:jc w:val="both"/>
      </w:pPr>
      <w:r>
        <w:rPr>
          <w:rFonts w:ascii="Times New Roman" w:hAnsi="Times New Roman"/>
          <w:sz w:val="24"/>
        </w:rPr>
        <w:t>- Request detailed technical roadmap milestones for 2024, 2028, and 2032 production readiness, including risks and mitigation plans.</w:t>
      </w:r>
    </w:p>
    <w:p>
      <w:pPr>
        <w:spacing w:line="360" w:lineRule="auto"/>
        <w:jc w:val="both"/>
      </w:pPr>
      <w:r>
        <w:rPr>
          <w:rFonts w:ascii="Times New Roman" w:hAnsi="Times New Roman"/>
          <w:sz w:val="24"/>
        </w:rPr>
        <w:t>- Compare StoreDot’s cost structure and performance metrics with key competitors and emerging battery technologies.</w:t>
      </w:r>
    </w:p>
    <w:p>
      <w:pPr>
        <w:spacing w:line="360" w:lineRule="auto"/>
        <w:jc w:val="both"/>
      </w:pPr>
      <w:r>
        <w:rPr>
          <w:rFonts w:ascii="Times New Roman" w:hAnsi="Times New Roman"/>
          <w:sz w:val="24"/>
        </w:rPr>
        <w:t>- Clarify how StoreDot plans to maintain its 3-5 year lead given rapid advancements in solid-state and semi-solid battery tech.</w:t>
      </w:r>
    </w:p>
    <w:p>
      <w:pPr>
        <w:spacing w:line="360" w:lineRule="auto"/>
        <w:jc w:val="both"/>
      </w:pPr>
      <w:r>
        <w:rPr>
          <w:rFonts w:ascii="Times New Roman" w:hAnsi="Times New Roman"/>
          <w:sz w:val="24"/>
        </w:rPr>
        <w:t>- **Market &amp; Adoption Risks**</w:t>
      </w:r>
    </w:p>
    <w:p>
      <w:pPr>
        <w:spacing w:line="360" w:lineRule="auto"/>
        <w:jc w:val="both"/>
      </w:pPr>
      <w:r>
        <w:rPr>
          <w:rFonts w:ascii="Times New Roman" w:hAnsi="Times New Roman"/>
          <w:sz w:val="24"/>
        </w:rPr>
        <w:t>- Quantify the impact of charging infrastructure limitations and connector standardization issues on StoreDot’s market penetration.</w:t>
      </w:r>
    </w:p>
    <w:p>
      <w:pPr>
        <w:spacing w:line="360" w:lineRule="auto"/>
        <w:jc w:val="both"/>
      </w:pPr>
      <w:r>
        <w:rPr>
          <w:rFonts w:ascii="Times New Roman" w:hAnsi="Times New Roman"/>
          <w:sz w:val="24"/>
        </w:rPr>
        <w:t>- Understand StoreDot’s go-to-market strategy and partnerships for charging infrastructure compatibility and ecosystem integration.</w:t>
      </w:r>
    </w:p>
    <w:p>
      <w:pPr>
        <w:spacing w:line="360" w:lineRule="auto"/>
        <w:jc w:val="both"/>
      </w:pPr>
      <w:r>
        <w:rPr>
          <w:rFonts w:ascii="Times New Roman" w:hAnsi="Times New Roman"/>
          <w:sz w:val="24"/>
        </w:rPr>
        <w:t>- Assess regulatory or subsidy risks in key markets (US, EU, China) that could affect adoption timelines.</w:t>
      </w:r>
    </w:p>
    <w:p>
      <w:pPr>
        <w:spacing w:line="360" w:lineRule="auto"/>
        <w:jc w:val="both"/>
      </w:pPr>
      <w:r>
        <w:rPr>
          <w:rFonts w:ascii="Times New Roman" w:hAnsi="Times New Roman"/>
          <w:sz w:val="24"/>
        </w:rPr>
        <w:t>- **Financials &amp; Business Model**</w:t>
      </w:r>
    </w:p>
    <w:p>
      <w:pPr>
        <w:spacing w:line="360" w:lineRule="auto"/>
        <w:jc w:val="both"/>
      </w:pPr>
      <w:r>
        <w:rPr>
          <w:rFonts w:ascii="Times New Roman" w:hAnsi="Times New Roman"/>
          <w:sz w:val="24"/>
        </w:rPr>
        <w:t>- Request detailed financial projections, including licensing revenue, manufacturing margins, and capital requirements.</w:t>
      </w:r>
    </w:p>
    <w:p>
      <w:pPr>
        <w:spacing w:line="360" w:lineRule="auto"/>
        <w:jc w:val="both"/>
      </w:pPr>
      <w:r>
        <w:rPr>
          <w:rFonts w:ascii="Times New Roman" w:hAnsi="Times New Roman"/>
          <w:sz w:val="24"/>
        </w:rPr>
        <w:t>- Clarify pricing strategy and cost competitiveness relative to incumbent Li-ion batteries.</w:t>
      </w:r>
    </w:p>
    <w:p>
      <w:pPr>
        <w:spacing w:line="360" w:lineRule="auto"/>
        <w:jc w:val="both"/>
      </w:pPr>
      <w:r>
        <w:rPr>
          <w:rFonts w:ascii="Times New Roman" w:hAnsi="Times New Roman"/>
          <w:sz w:val="24"/>
        </w:rPr>
        <w:t>- Understand the licensing model terms and how StoreDot plans to monetize its technology globally.</w:t>
      </w:r>
    </w:p>
    <w:p>
      <w:pPr>
        <w:spacing w:line="360" w:lineRule="auto"/>
        <w:jc w:val="both"/>
      </w:pPr>
      <w:r>
        <w:rPr>
          <w:rFonts w:ascii="Times New Roman" w:hAnsi="Times New Roman"/>
          <w:sz w:val="24"/>
        </w:rPr>
        <w:t>- **Team &amp; Execution Capability**</w:t>
      </w:r>
    </w:p>
    <w:p>
      <w:pPr>
        <w:spacing w:line="360" w:lineRule="auto"/>
        <w:jc w:val="both"/>
      </w:pPr>
      <w:r>
        <w:rPr>
          <w:rFonts w:ascii="Times New Roman" w:hAnsi="Times New Roman"/>
          <w:sz w:val="24"/>
        </w:rPr>
        <w:t>- Validate key team members’ track record in scaling battery technologies to commercial production.</w:t>
      </w:r>
    </w:p>
    <w:p>
      <w:pPr>
        <w:spacing w:line="360" w:lineRule="auto"/>
        <w:jc w:val="both"/>
      </w:pPr>
      <w:r>
        <w:rPr>
          <w:rFonts w:ascii="Times New Roman" w:hAnsi="Times New Roman"/>
          <w:sz w:val="24"/>
        </w:rPr>
        <w:t>- Assess organizational readiness to manage global partnerships and supply chain complexities.</w:t>
      </w:r>
    </w:p>
    <w:p>
      <w:pPr>
        <w:spacing w:line="360" w:lineRule="auto"/>
        <w:jc w:val="both"/>
      </w:pPr>
      <w:r>
        <w:rPr>
          <w:rFonts w:ascii="Times New Roman" w:hAnsi="Times New Roman"/>
          <w:sz w:val="24"/>
        </w:rPr>
        <w:t>- **Next Steps**</w:t>
      </w:r>
    </w:p>
    <w:p>
      <w:pPr>
        <w:spacing w:line="360" w:lineRule="auto"/>
        <w:jc w:val="both"/>
      </w:pPr>
      <w:r>
        <w:rPr>
          <w:rFonts w:ascii="Times New Roman" w:hAnsi="Times New Roman"/>
          <w:sz w:val="24"/>
        </w:rPr>
        <w:t>- Conduct technical due diligence with independent battery experts.</w:t>
      </w:r>
    </w:p>
    <w:p>
      <w:pPr>
        <w:spacing w:line="360" w:lineRule="auto"/>
        <w:jc w:val="both"/>
      </w:pPr>
      <w:r>
        <w:rPr>
          <w:rFonts w:ascii="Times New Roman" w:hAnsi="Times New Roman"/>
          <w:sz w:val="24"/>
        </w:rPr>
        <w:t>- Engage with referenced OEM partners for feedback on StoreDot’s technology.</w:t>
      </w:r>
    </w:p>
    <w:p>
      <w:pPr>
        <w:spacing w:line="360" w:lineRule="auto"/>
        <w:jc w:val="both"/>
      </w:pPr>
      <w:r>
        <w:rPr>
          <w:rFonts w:ascii="Times New Roman" w:hAnsi="Times New Roman"/>
          <w:sz w:val="24"/>
        </w:rPr>
        <w:t>- Review patent portfolio with IP counsel.</w:t>
      </w:r>
    </w:p>
    <w:p>
      <w:pPr>
        <w:spacing w:line="360" w:lineRule="auto"/>
        <w:jc w:val="both"/>
      </w:pPr>
      <w:r>
        <w:rPr>
          <w:rFonts w:ascii="Times New Roman" w:hAnsi="Times New Roman"/>
          <w:sz w:val="24"/>
        </w:rPr>
        <w:t>- Perform market analysis on charging infrastructure evolution and standards.</w:t>
      </w:r>
    </w:p>
    <w:p>
      <w:pPr>
        <w:spacing w:line="360" w:lineRule="auto"/>
        <w:jc w:val="both"/>
      </w:pPr>
      <w:r>
        <w:rPr>
          <w:rFonts w:ascii="Times New Roman" w:hAnsi="Times New Roman"/>
          <w:sz w:val="24"/>
        </w:rPr>
        <w:t>- Request updated financial model and detailed go-to-market plan.</w:t>
      </w:r>
    </w:p>
    <w:p>
      <w:pPr>
        <w:spacing w:line="360" w:lineRule="auto"/>
        <w:jc w:val="both"/>
      </w:pPr>
      <w:r>
        <w:rPr>
          <w:rFonts w:ascii="Times New Roman" w:hAnsi="Times New Roman"/>
          <w:sz w:val="24"/>
        </w:rPr>
        <w:t>No follow-up questions if all above are satisfactorily addressed.</w:t>
      </w:r>
    </w:p>
    <w:p>
      <w:pPr>
        <w:spacing w:line="360" w:lineRule="auto"/>
        <w:jc w:val="both"/>
      </w:pPr>
      <w:r>
        <w:rPr>
          <w:rFonts w:ascii="Times New Roman" w:hAnsi="Times New Roman"/>
          <w:b/>
          <w:sz w:val="24"/>
        </w:rPr>
        <w:t>16. FIGURES &amp; VISUALS</w:t>
      </w:r>
    </w:p>
    <w:p>
      <w:pPr>
        <w:spacing w:line="360" w:lineRule="auto"/>
        <w:jc w:val="both"/>
      </w:pPr>
      <w:r>
        <w:rPr>
          <w:rFonts w:ascii="Times New Roman" w:hAnsi="Times New Roman"/>
          <w:sz w:val="24"/>
        </w:rPr>
        <w:t>No figures extracted.</w:t>
      </w:r>
    </w:p>
    <w:p>
      <w:pPr>
        <w:spacing w:line="360" w:lineRule="auto"/>
        <w:jc w:val="both"/>
      </w:pPr>
      <w:r>
        <w:rPr>
          <w:rFonts w:ascii="Times New Roman" w:hAnsi="Times New Roman"/>
          <w:sz w:val="24"/>
        </w:rPr>
        <w:t>17. APPENDIX: ADDITIONAL TABLES</w:t>
      </w:r>
    </w:p>
    <w:p>
      <w:pPr>
        <w:spacing w:line="360" w:lineRule="auto"/>
        <w:jc w:val="both"/>
      </w:pPr>
      <w:r>
        <w:rPr>
          <w:rFonts w:ascii="Times New Roman" w:hAnsi="Times New Roman"/>
          <w:b/>
          <w:sz w:val="24"/>
        </w:rPr>
        <w:t>18. DISCUSSION &amp; ANALYST COMMENTARY</w:t>
      </w:r>
    </w:p>
    <w:p>
      <w:pPr>
        <w:spacing w:line="360" w:lineRule="auto"/>
        <w:jc w:val="both"/>
      </w:pPr>
      <w:r>
        <w:rPr>
          <w:rFonts w:ascii="Times New Roman" w:hAnsi="Times New Roman"/>
          <w:sz w:val="24"/>
        </w:rPr>
        <w:t>**Analyst Commentary on StoreDot Investment Memo**</w:t>
      </w:r>
    </w:p>
    <w:p>
      <w:pPr>
        <w:spacing w:line="360" w:lineRule="auto"/>
        <w:jc w:val="both"/>
      </w:pPr>
      <w:r>
        <w:rPr>
          <w:rFonts w:ascii="Times New Roman" w:hAnsi="Times New Roman"/>
          <w:sz w:val="24"/>
        </w:rPr>
        <w:t>---</w:t>
      </w:r>
    </w:p>
    <w:p>
      <w:pPr>
        <w:spacing w:line="360" w:lineRule="auto"/>
        <w:jc w:val="both"/>
      </w:pPr>
      <w:r>
        <w:rPr>
          <w:rFonts w:ascii="Times New Roman" w:hAnsi="Times New Roman"/>
          <w:sz w:val="24"/>
        </w:rPr>
        <w:t>### Key Strengths</w:t>
      </w:r>
    </w:p>
    <w:p>
      <w:pPr>
        <w:spacing w:line="360" w:lineRule="auto"/>
        <w:jc w:val="both"/>
      </w:pPr>
      <w:r>
        <w:rPr>
          <w:rFonts w:ascii="Times New Roman" w:hAnsi="Times New Roman"/>
          <w:sz w:val="24"/>
        </w:rPr>
        <w:t>- **Technological Lead &amp; IP Moat:** StoreDot claims a 3-5 year lead in extreme fast charging (XFC) battery tech with a strong patent portfolio (78 granted US patents), which is a significant barrier to entry in a highly competitive field.</w:t>
      </w:r>
    </w:p>
    <w:p>
      <w:pPr>
        <w:spacing w:line="360" w:lineRule="auto"/>
        <w:jc w:val="both"/>
      </w:pPr>
      <w:r>
        <w:rPr>
          <w:rFonts w:ascii="Times New Roman" w:hAnsi="Times New Roman"/>
          <w:sz w:val="24"/>
        </w:rPr>
        <w:t>- **Proprietary Silicon-Dominant Anode Tech:** Enables 100 miles of EV range in 5-10 minutes charging, directly addressing a critical pain point—charging speed and range anxiety.</w:t>
      </w:r>
    </w:p>
    <w:p>
      <w:pPr>
        <w:spacing w:line="360" w:lineRule="auto"/>
        <w:jc w:val="both"/>
      </w:pPr>
      <w:r>
        <w:rPr>
          <w:rFonts w:ascii="Times New Roman" w:hAnsi="Times New Roman"/>
          <w:sz w:val="24"/>
        </w:rPr>
        <w:t>- **Business Model &amp; Scalability:** Licensing a drop-in compatible technology that leverages existing lithium-ion manufacturing lines reduces CAPEX and accelerates adoption. This model aligns well with OEMs’ needs for rapid integration.</w:t>
      </w:r>
    </w:p>
    <w:p>
      <w:pPr>
        <w:spacing w:line="360" w:lineRule="auto"/>
        <w:jc w:val="both"/>
      </w:pPr>
      <w:r>
        <w:rPr>
          <w:rFonts w:ascii="Times New Roman" w:hAnsi="Times New Roman"/>
          <w:sz w:val="24"/>
        </w:rPr>
        <w:t>- **Partnerships:** Engagement with over 15 OEMs and manufacturing partners indicates strong industry interest and validation potential.</w:t>
      </w:r>
    </w:p>
    <w:p>
      <w:pPr>
        <w:spacing w:line="360" w:lineRule="auto"/>
        <w:jc w:val="both"/>
      </w:pPr>
      <w:r>
        <w:rPr>
          <w:rFonts w:ascii="Times New Roman" w:hAnsi="Times New Roman"/>
          <w:sz w:val="24"/>
        </w:rPr>
        <w:t>- **ESG Alignment:** Reduced cobalt content and support for EV adoption align with sustainability trends, enhancing appeal to ESG-conscious investors.</w:t>
      </w:r>
    </w:p>
    <w:p>
      <w:pPr>
        <w:spacing w:line="360" w:lineRule="auto"/>
        <w:jc w:val="both"/>
      </w:pPr>
      <w:r>
        <w:rPr>
          <w:rFonts w:ascii="Times New Roman" w:hAnsi="Times New Roman"/>
          <w:sz w:val="24"/>
        </w:rPr>
        <w:t>### Key Weaknesses</w:t>
      </w:r>
    </w:p>
    <w:p>
      <w:pPr>
        <w:spacing w:line="360" w:lineRule="auto"/>
        <w:jc w:val="both"/>
      </w:pPr>
      <w:r>
        <w:rPr>
          <w:rFonts w:ascii="Times New Roman" w:hAnsi="Times New Roman"/>
          <w:sz w:val="24"/>
        </w:rPr>
        <w:t>- **Lack of Financial Transparency:** No financial data, valuation, or cash runway information severely limits investment decision-making and risk assessment.</w:t>
      </w:r>
    </w:p>
    <w:p>
      <w:pPr>
        <w:spacing w:line="360" w:lineRule="auto"/>
        <w:jc w:val="both"/>
      </w:pPr>
      <w:r>
        <w:rPr>
          <w:rFonts w:ascii="Times New Roman" w:hAnsi="Times New Roman"/>
          <w:sz w:val="24"/>
        </w:rPr>
        <w:t>- **Unclear Funding Stage &amp; Capital Needs:** Unknown funding stage and zero runway reported raise concerns about financial health and ability to scale.</w:t>
      </w:r>
    </w:p>
    <w:p>
      <w:pPr>
        <w:spacing w:line="360" w:lineRule="auto"/>
        <w:jc w:val="both"/>
      </w:pPr>
      <w:r>
        <w:rPr>
          <w:rFonts w:ascii="Times New Roman" w:hAnsi="Times New Roman"/>
          <w:sz w:val="24"/>
        </w:rPr>
        <w:t>- **Limited Team Information:** Only the founder is highlighted; no details on broader management or technical team, which is critical for execution in deep tech.</w:t>
      </w:r>
    </w:p>
    <w:p>
      <w:pPr>
        <w:spacing w:line="360" w:lineRule="auto"/>
        <w:jc w:val="both"/>
      </w:pPr>
      <w:r>
        <w:rPr>
          <w:rFonts w:ascii="Times New Roman" w:hAnsi="Times New Roman"/>
          <w:sz w:val="24"/>
        </w:rPr>
        <w:t>- **Technical Validation Pending:** Claims of charging speed and cycle life require independent third-party validation; absence of such data is a red flag.</w:t>
      </w:r>
    </w:p>
    <w:p>
      <w:pPr>
        <w:spacing w:line="360" w:lineRule="auto"/>
        <w:jc w:val="both"/>
      </w:pPr>
      <w:r>
        <w:rPr>
          <w:rFonts w:ascii="Times New Roman" w:hAnsi="Times New Roman"/>
          <w:sz w:val="24"/>
        </w:rPr>
        <w:t>- **Market Penetration Uncertainty:** Despite partnerships, no confirmed commercial agreements or exclusivity terms are disclosed.</w:t>
      </w:r>
    </w:p>
    <w:p>
      <w:pPr>
        <w:spacing w:line="360" w:lineRule="auto"/>
        <w:jc w:val="both"/>
      </w:pPr>
      <w:r>
        <w:rPr>
          <w:rFonts w:ascii="Times New Roman" w:hAnsi="Times New Roman"/>
          <w:sz w:val="24"/>
        </w:rPr>
        <w:t>### Opportunities</w:t>
      </w:r>
    </w:p>
    <w:p>
      <w:pPr>
        <w:spacing w:line="360" w:lineRule="auto"/>
        <w:jc w:val="both"/>
      </w:pPr>
      <w:r>
        <w:rPr>
          <w:rFonts w:ascii="Times New Roman" w:hAnsi="Times New Roman"/>
          <w:sz w:val="24"/>
        </w:rPr>
        <w:t>- **Mass EV Adoption Catalyst:** If StoreDot delivers on its promise, it could become a key enabler for mainstream EV adoption, unlocking a multi-billion-dollar market.</w:t>
      </w:r>
    </w:p>
    <w:p>
      <w:pPr>
        <w:spacing w:line="360" w:lineRule="auto"/>
        <w:jc w:val="both"/>
      </w:pPr>
      <w:r>
        <w:rPr>
          <w:rFonts w:ascii="Times New Roman" w:hAnsi="Times New Roman"/>
          <w:sz w:val="24"/>
        </w:rPr>
        <w:t>- **Licensing &amp; Acquisition Potential:** OEMs and battery manufacturers may prefer licensing over in-house development, creating recurring revenue streams or acquisition interest.</w:t>
      </w:r>
    </w:p>
    <w:p>
      <w:pPr>
        <w:spacing w:line="360" w:lineRule="auto"/>
        <w:jc w:val="both"/>
      </w:pPr>
      <w:r>
        <w:rPr>
          <w:rFonts w:ascii="Times New Roman" w:hAnsi="Times New Roman"/>
          <w:sz w:val="24"/>
        </w:rPr>
        <w:t>- **Roadmap to Next-Gen Batteries:** Advancing toward semi-solid and post-lithium batteries by 2028+ positions StoreDot for long-term relevance beyond current lithium-ion tech.</w:t>
      </w:r>
    </w:p>
    <w:p>
      <w:pPr>
        <w:spacing w:line="360" w:lineRule="auto"/>
        <w:jc w:val="both"/>
      </w:pPr>
      <w:r>
        <w:rPr>
          <w:rFonts w:ascii="Times New Roman" w:hAnsi="Times New Roman"/>
          <w:sz w:val="24"/>
        </w:rPr>
        <w:t>- **Global Market Expansion:** Compatibility with existing manufacturing lines facilitates rapid geographic scaling, especially in high-growth EV markets (China, EU, US).</w:t>
      </w:r>
    </w:p>
    <w:p>
      <w:pPr>
        <w:spacing w:line="360" w:lineRule="auto"/>
        <w:jc w:val="both"/>
      </w:pPr>
      <w:r>
        <w:rPr>
          <w:rFonts w:ascii="Times New Roman" w:hAnsi="Times New Roman"/>
          <w:sz w:val="24"/>
        </w:rPr>
        <w:t>### Risks</w:t>
      </w:r>
    </w:p>
    <w:p>
      <w:pPr>
        <w:spacing w:line="360" w:lineRule="auto"/>
        <w:jc w:val="both"/>
      </w:pPr>
      <w:r>
        <w:rPr>
          <w:rFonts w:ascii="Times New Roman" w:hAnsi="Times New Roman"/>
          <w:sz w:val="24"/>
        </w:rPr>
        <w:t>- **High Market Competition:** Competitors like QuantumScape, Sila Nanotechnologies, and Solid Power are advancing solid-state and silicon-anode tech aggressively; StoreDot’s lead may erode.</w:t>
      </w:r>
    </w:p>
    <w:p>
      <w:pPr>
        <w:spacing w:line="360" w:lineRule="auto"/>
        <w:jc w:val="both"/>
      </w:pPr>
      <w:r>
        <w:rPr>
          <w:rFonts w:ascii="Times New Roman" w:hAnsi="Times New Roman"/>
          <w:sz w:val="24"/>
        </w:rPr>
        <w:t>- **Regulatory &amp; Infrastructure Risks:** Charging standards, infrastructure rollout, and regional regulatory policies could delay adoption or limit market access.</w:t>
      </w:r>
    </w:p>
    <w:p>
      <w:pPr>
        <w:spacing w:line="360" w:lineRule="auto"/>
        <w:jc w:val="both"/>
      </w:pPr>
      <w:r>
        <w:rPr>
          <w:rFonts w:ascii="Times New Roman" w:hAnsi="Times New Roman"/>
          <w:sz w:val="24"/>
        </w:rPr>
        <w:t>- **Supply Chain Dependencies:** Potential reliance on proprietary or rare materials could introduce cost volatility or sourcing risks.</w:t>
      </w:r>
    </w:p>
    <w:p>
      <w:pPr>
        <w:spacing w:line="360" w:lineRule="auto"/>
        <w:jc w:val="both"/>
      </w:pPr>
      <w:r>
        <w:rPr>
          <w:rFonts w:ascii="Times New Roman" w:hAnsi="Times New Roman"/>
          <w:sz w:val="24"/>
        </w:rPr>
        <w:t>- **Execution Risk:** Scaling from prototype to mass production is notoriously challenging in battery tech; lack of detailed operational readiness data is concerning.</w:t>
      </w:r>
    </w:p>
    <w:p>
      <w:pPr>
        <w:spacing w:line="360" w:lineRule="auto"/>
        <w:jc w:val="both"/>
      </w:pPr>
      <w:r>
        <w:rPr>
          <w:rFonts w:ascii="Times New Roman" w:hAnsi="Times New Roman"/>
          <w:sz w:val="24"/>
        </w:rPr>
        <w:t>- **Financial Risk:** Unknown funding status and zero runway suggest potential liquidity issues that could jeopardize commercialization timelines.</w:t>
      </w:r>
    </w:p>
    <w:p>
      <w:pPr>
        <w:spacing w:line="360" w:lineRule="auto"/>
        <w:jc w:val="both"/>
      </w:pPr>
      <w:r>
        <w:rPr>
          <w:rFonts w:ascii="Times New Roman" w:hAnsi="Times New Roman"/>
          <w:sz w:val="24"/>
        </w:rPr>
        <w:t>### Actionable Recommendations for Investors</w:t>
      </w:r>
    </w:p>
    <w:p>
      <w:pPr>
        <w:spacing w:line="360" w:lineRule="auto"/>
        <w:jc w:val="both"/>
      </w:pPr>
      <w:r>
        <w:rPr>
          <w:rFonts w:ascii="Times New Roman" w:hAnsi="Times New Roman"/>
          <w:sz w:val="24"/>
        </w:rPr>
        <w:t>1. **Prioritize Technical Due Diligence:** Insist on independent validation of charging speed, cycle life, and degradation under real-world conditions before committing capital.</w:t>
      </w:r>
    </w:p>
    <w:p>
      <w:pPr>
        <w:spacing w:line="360" w:lineRule="auto"/>
        <w:jc w:val="both"/>
      </w:pPr>
      <w:r>
        <w:rPr>
          <w:rFonts w:ascii="Times New Roman" w:hAnsi="Times New Roman"/>
          <w:sz w:val="24"/>
        </w:rPr>
        <w:t>2. **Demand Financial Transparency:** Obtain detailed financials, including burn rate, runway, funding history, and projections to assess sustainability and capital needs.</w:t>
      </w:r>
    </w:p>
    <w:p>
      <w:pPr>
        <w:spacing w:line="360" w:lineRule="auto"/>
        <w:jc w:val="both"/>
      </w:pPr>
      <w:r>
        <w:rPr>
          <w:rFonts w:ascii="Times New Roman" w:hAnsi="Times New Roman"/>
          <w:sz w:val="24"/>
        </w:rPr>
        <w:t>3. **Clarify Partnership Status:** Secure clarity on OEM agreements, exclusivity, and licensing terms to gauge revenue potential and competitive positioning.</w:t>
      </w:r>
    </w:p>
    <w:p>
      <w:pPr>
        <w:spacing w:line="360" w:lineRule="auto"/>
        <w:jc w:val="both"/>
      </w:pPr>
      <w:r>
        <w:rPr>
          <w:rFonts w:ascii="Times New Roman" w:hAnsi="Times New Roman"/>
          <w:sz w:val="24"/>
        </w:rPr>
        <w:t>4. **Evaluate IP Strength &amp; Risks:** Conduct a thorough patent landscape review to confirm StoreDot’s moat and identify any infringement risks.</w:t>
      </w:r>
    </w:p>
    <w:p>
      <w:pPr>
        <w:spacing w:line="360" w:lineRule="auto"/>
        <w:jc w:val="both"/>
      </w:pPr>
      <w:r>
        <w:rPr>
          <w:rFonts w:ascii="Times New Roman" w:hAnsi="Times New Roman"/>
          <w:sz w:val="24"/>
        </w:rPr>
        <w:t>5. **Assess Team &amp; Execution Capability:** Review the full leadership and technical team’s track record in scaling battery technologies to mitigate execution risk.</w:t>
      </w:r>
    </w:p>
    <w:p>
      <w:pPr>
        <w:spacing w:line="360" w:lineRule="auto"/>
        <w:jc w:val="both"/>
      </w:pPr>
      <w:r>
        <w:rPr>
          <w:rFonts w:ascii="Times New Roman" w:hAnsi="Times New Roman"/>
          <w:sz w:val="24"/>
        </w:rPr>
        <w:t>6. **Monitor Competitive Advances:** Track progress of solid-state and alternative battery technologies that could leapfrog StoreDot’s silicon-anode approach.</w:t>
      </w:r>
    </w:p>
    <w:p>
      <w:pPr>
        <w:spacing w:line="360" w:lineRule="auto"/>
        <w:jc w:val="both"/>
      </w:pPr>
      <w:r>
        <w:rPr>
          <w:rFonts w:ascii="Times New Roman" w:hAnsi="Times New Roman"/>
          <w:sz w:val="24"/>
        </w:rPr>
        <w:t>7. **Consider Staged Investment:** Given high risk and data gaps, structure investment in tranches tied to milestone achievements (e.g., commercial readiness, OEM contracts, financial stability).</w:t>
      </w:r>
    </w:p>
    <w:p>
      <w:pPr>
        <w:spacing w:line="360" w:lineRule="auto"/>
        <w:jc w:val="both"/>
      </w:pPr>
      <w:r>
        <w:rPr>
          <w:rFonts w:ascii="Times New Roman" w:hAnsi="Times New Roman"/>
          <w:sz w:val="24"/>
        </w:rPr>
        <w:t>8. **Engage with OEMs &amp; Industry Experts:** Validate StoreDot’s claims and market fit through direct OEM feedback and independent industry analysis.</w:t>
      </w:r>
    </w:p>
    <w:p>
      <w:pPr>
        <w:spacing w:line="360" w:lineRule="auto"/>
        <w:jc w:val="both"/>
      </w:pPr>
      <w:r>
        <w:rPr>
          <w:rFonts w:ascii="Times New Roman" w:hAnsi="Times New Roman"/>
          <w:sz w:val="24"/>
        </w:rPr>
        <w:t>### Summary</w:t>
      </w:r>
    </w:p>
    <w:p>
      <w:pPr>
        <w:spacing w:line="360" w:lineRule="auto"/>
        <w:jc w:val="both"/>
      </w:pPr>
      <w:r>
        <w:rPr>
          <w:rFonts w:ascii="Times New Roman" w:hAnsi="Times New Roman"/>
          <w:sz w:val="24"/>
        </w:rPr>
        <w:t>StoreDot presents a compelling technological proposition with a potentially transformative impact on EV adoption. However, significant information gaps—especially around financials, technical validation, and commercial agreements—introduce high risk. The company’s strong IP position and OEM interest are positives, but investors must conduct rigorous due diligence and seek transparency before proceeding. A cautious, milestone-driven investment approach is advisable to balance upside potential against execution and market risks.</w:t>
      </w:r>
    </w:p>
    <w:p>
      <w:pPr>
        <w:spacing w:line="360" w:lineRule="auto"/>
        <w:jc w:val="both"/>
      </w:pPr>
      <w:r>
        <w:rPr>
          <w:rFonts w:ascii="Times New Roman" w:hAnsi="Times New Roman"/>
          <w:sz w:val="24"/>
        </w:rPr>
        <w:t>Generated by VC Analysis System on July 13, 2025</w:t>
      </w:r>
    </w:p>
    <w:p>
      <w:pPr>
        <w:spacing w:line="360" w:lineRule="auto"/>
        <w:jc w:val="both"/>
      </w:pPr>
      <w:r>
        <w:rPr>
          <w:rFonts w:ascii="Times New Roman" w:hAnsi="Times New Roman"/>
          <w:sz w:val="24"/>
        </w:rPr>
        <w:t>Data Sources: Company documents, market research, competitive intelligence, technical analysis</w:t>
      </w:r>
    </w:p>
    <w:p>
      <w:pPr>
        <w:spacing w:line="360" w:lineRule="auto"/>
        <w:jc w:val="both"/>
      </w:pPr>
      <w:r>
        <w:rPr>
          <w:rFonts w:ascii="Times New Roman" w:hAnsi="Times New Roman"/>
          <w:sz w:val="24"/>
        </w:rPr>
        <w:t>Analysis Framework: Multi-agent AI system with specialized domain expertise</w:t>
      </w:r>
    </w:p>
    <w:p w14:paraId="13E79270" w14:textId="77777777" w:rsidR="00F87D6F" w:rsidRPr="00F87D6F" w:rsidRDefault="00F87D6F" w:rsidP="00F87D6F">
      <w:pPr>
        <w:spacing w:after="160" w:line="259" w:lineRule="auto"/>
        <w:rPr>
          <w:lang w:val="en-US"/>
        </w:rPr>
      </w:pPr>
    </w:p>
    <w:p w14:paraId="614BC716" w14:textId="77777777" w:rsidR="001A3A2E" w:rsidRDefault="001A3A2E" w:rsidP="001A3A2E">
      <w:pPr>
        <w:spacing w:after="160" w:line="259" w:lineRule="auto"/>
        <w:jc w:val="center"/>
        <w:rPr>
          <w:lang w:val="en-US"/>
        </w:rPr>
      </w:pPr>
    </w:p>
    <w:p w14:paraId="0EB7E562" w14:textId="77777777" w:rsidR="00830FE5" w:rsidRDefault="00830FE5" w:rsidP="001A3A2E">
      <w:pPr>
        <w:spacing w:after="160" w:line="259" w:lineRule="auto"/>
        <w:jc w:val="center"/>
        <w:rPr>
          <w:lang w:val="en-US"/>
        </w:rPr>
      </w:pPr>
    </w:p>
    <w:p w14:paraId="31709D37" w14:textId="77777777" w:rsidR="00830FE5" w:rsidRDefault="00830FE5" w:rsidP="001A3A2E">
      <w:pPr>
        <w:spacing w:after="160" w:line="259" w:lineRule="auto"/>
        <w:jc w:val="center"/>
        <w:rPr>
          <w:lang w:val="en-US"/>
        </w:rPr>
      </w:pPr>
    </w:p>
    <w:p w14:paraId="2ACAB304" w14:textId="77777777" w:rsidR="00830FE5" w:rsidRDefault="00830FE5" w:rsidP="001A3A2E">
      <w:pPr>
        <w:spacing w:after="160" w:line="259" w:lineRule="auto"/>
        <w:jc w:val="center"/>
        <w:rPr>
          <w:lang w:val="en-US"/>
        </w:rPr>
      </w:pPr>
    </w:p>
    <w:p w14:paraId="37860182" w14:textId="77777777" w:rsidR="00830FE5" w:rsidRDefault="00830FE5" w:rsidP="001A3A2E">
      <w:pPr>
        <w:spacing w:after="160" w:line="259" w:lineRule="auto"/>
        <w:jc w:val="center"/>
        <w:rPr>
          <w:lang w:val="en-US"/>
        </w:rPr>
      </w:pPr>
    </w:p>
    <w:p w14:paraId="08B643F9" w14:textId="77777777" w:rsidR="00830FE5" w:rsidRDefault="00830FE5" w:rsidP="001A3A2E">
      <w:pPr>
        <w:spacing w:after="160" w:line="259" w:lineRule="auto"/>
        <w:jc w:val="center"/>
        <w:rPr>
          <w:lang w:val="en-US"/>
        </w:rPr>
      </w:pPr>
    </w:p>
    <w:p w14:paraId="4B066404" w14:textId="77777777" w:rsidR="00830FE5" w:rsidRDefault="00830FE5" w:rsidP="001A3A2E">
      <w:pPr>
        <w:spacing w:after="160" w:line="259" w:lineRule="auto"/>
        <w:jc w:val="center"/>
        <w:rPr>
          <w:lang w:val="en-US"/>
        </w:rPr>
      </w:pPr>
    </w:p>
    <w:p w14:paraId="293321F0" w14:textId="77777777" w:rsidR="00830FE5" w:rsidRDefault="00830FE5" w:rsidP="001A3A2E">
      <w:pPr>
        <w:spacing w:after="160" w:line="259" w:lineRule="auto"/>
        <w:jc w:val="center"/>
        <w:rPr>
          <w:lang w:val="en-US"/>
        </w:rPr>
      </w:pPr>
    </w:p>
    <w:p w14:paraId="704C4B7E" w14:textId="77777777" w:rsidR="00830FE5" w:rsidRDefault="00830FE5" w:rsidP="001A3A2E">
      <w:pPr>
        <w:spacing w:after="160" w:line="259" w:lineRule="auto"/>
        <w:jc w:val="center"/>
        <w:rPr>
          <w:lang w:val="en-US"/>
        </w:rPr>
      </w:pPr>
    </w:p>
    <w:p w14:paraId="21905551" w14:textId="77777777" w:rsidR="00830FE5" w:rsidRDefault="00830FE5" w:rsidP="001A3A2E">
      <w:pPr>
        <w:spacing w:after="160" w:line="259" w:lineRule="auto"/>
        <w:jc w:val="center"/>
        <w:rPr>
          <w:lang w:val="en-US"/>
        </w:rPr>
      </w:pPr>
    </w:p>
    <w:p w14:paraId="78FE3437" w14:textId="77777777" w:rsidR="00830FE5" w:rsidRDefault="00830FE5" w:rsidP="001A3A2E">
      <w:pPr>
        <w:spacing w:after="160" w:line="259" w:lineRule="auto"/>
        <w:jc w:val="center"/>
        <w:rPr>
          <w:lang w:val="en-US"/>
        </w:rPr>
      </w:pPr>
    </w:p>
    <w:p w14:paraId="0D8D7E32" w14:textId="77777777" w:rsidR="00830FE5" w:rsidRDefault="00830FE5" w:rsidP="001A3A2E">
      <w:pPr>
        <w:spacing w:after="160" w:line="259" w:lineRule="auto"/>
        <w:jc w:val="center"/>
        <w:rPr>
          <w:lang w:val="en-US"/>
        </w:rPr>
      </w:pPr>
    </w:p>
    <w:p w14:paraId="0B7210AE" w14:textId="77777777" w:rsidR="00830FE5" w:rsidRDefault="00830FE5" w:rsidP="001A3A2E">
      <w:pPr>
        <w:spacing w:after="160" w:line="259" w:lineRule="auto"/>
        <w:jc w:val="center"/>
        <w:rPr>
          <w:lang w:val="en-US"/>
        </w:rPr>
      </w:pPr>
    </w:p>
    <w:p w14:paraId="5F3E52D7" w14:textId="27267B34" w:rsidR="00C802F8" w:rsidRDefault="00C802F8" w:rsidP="00C802F8">
      <w:pPr>
        <w:tabs>
          <w:tab w:val="left" w:pos="3060"/>
        </w:tabs>
        <w:rPr>
          <w:lang w:val="en-US"/>
        </w:rPr>
      </w:pPr>
    </w:p>
    <w:p w14:paraId="5C7D0E45" w14:textId="77777777" w:rsidR="00C802F8" w:rsidRPr="00C802F8" w:rsidRDefault="00C802F8" w:rsidP="00C802F8">
      <w:pPr>
        <w:tabs>
          <w:tab w:val="left" w:pos="3060"/>
        </w:tabs>
        <w:rPr>
          <w:lang w:val="en-US"/>
        </w:rPr>
      </w:pPr>
    </w:p>
    <w:sectPr w:rsidR="00C802F8" w:rsidRPr="00C802F8" w:rsidSect="00830FE5">
      <w:headerReference w:type="default" r:id="rId9"/>
      <w:pgSz w:w="11906" w:h="16838"/>
      <w:pgMar w:top="1440" w:right="1440" w:bottom="1440" w:left="1440" w:header="964" w:footer="1134" w:gutter="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78302FA" w14:textId="77777777" w:rsidR="00A60FB3" w:rsidRDefault="00A60FB3">
      <w:r>
        <w:separator/>
      </w:r>
    </w:p>
  </w:endnote>
  <w:endnote w:type="continuationSeparator" w:id="0">
    <w:p w14:paraId="754131E9" w14:textId="77777777" w:rsidR="00A60FB3" w:rsidRDefault="00A60FB3">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auto"/>
    <w:pitch w:val="variable"/>
    <w:sig w:usb0="00000000" w:usb1="10000000" w:usb2="00000000" w:usb3="00000000" w:csb0="80000000" w:csb1="00000000"/>
  </w:font>
  <w:font w:name="Times New Roman">
    <w:panose1 w:val="02020603050405020304"/>
    <w:charset w:val="CC"/>
    <w:family w:val="roman"/>
    <w:pitch w:val="variable"/>
    <w:sig w:usb0="E0002EFF" w:usb1="C000785B" w:usb2="00000009" w:usb3="00000000" w:csb0="000001FF" w:csb1="00000000"/>
  </w:font>
  <w:font w:name="Courier New">
    <w:panose1 w:val="02070309020205020404"/>
    <w:charset w:val="CC"/>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AFF" w:usb1="C0007843" w:usb2="00000009" w:usb3="00000000" w:csb0="000001FF" w:csb1="00000000"/>
  </w:font>
  <w:font w:name="Tahoma">
    <w:panose1 w:val="020B0604030504040204"/>
    <w:charset w:val="CC"/>
    <w:family w:val="swiss"/>
    <w:pitch w:val="variable"/>
    <w:sig w:usb0="E1002EFF" w:usb1="C000605B" w:usb2="00000029" w:usb3="00000000" w:csb0="000101FF" w:csb1="00000000"/>
  </w:font>
  <w:font w:name="Menlo">
    <w:panose1 w:val="020B0609030804020204"/>
    <w:charset w:val="00"/>
    <w:family w:val="modern"/>
    <w:pitch w:val="fixed"/>
    <w:sig w:usb0="E60022FF" w:usb1="D200F9FB" w:usb2="02000028" w:usb3="00000000" w:csb0="000001DF" w:csb1="00000000"/>
  </w:font>
  <w:font w:name="Cambria">
    <w:panose1 w:val="02040503050406030204"/>
    <w:charset w:val="CC"/>
    <w:family w:val="roman"/>
    <w:pitch w:val="variable"/>
    <w:sig w:usb0="E00006FF" w:usb1="420024FF" w:usb2="02000000" w:usb3="00000000" w:csb0="0000019F" w:csb1="00000000"/>
  </w:font>
  <w:font w:name="Calibri">
    <w:panose1 w:val="020F0502020204030204"/>
    <w:charset w:val="CC"/>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5FDD519" w14:textId="77777777" w:rsidR="00A60FB3" w:rsidRDefault="00A60FB3">
      <w:r>
        <w:separator/>
      </w:r>
    </w:p>
  </w:footnote>
  <w:footnote w:type="continuationSeparator" w:id="0">
    <w:p w14:paraId="51148DB3" w14:textId="77777777" w:rsidR="00A60FB3" w:rsidRDefault="00A60FB3">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21D8886" w14:textId="638C375B" w:rsidR="00982DE1" w:rsidRPr="00830FE5" w:rsidRDefault="00830FE5" w:rsidP="00830FE5">
    <w:pPr>
      <w:pStyle w:val="Header"/>
      <w:ind w:left="4153" w:firstLine="3767"/>
    </w:pPr>
    <w:r>
      <w:rPr>
        <w:noProof/>
      </w:rPr>
      <w:drawing>
        <wp:anchor distT="0" distB="0" distL="114300" distR="114300" simplePos="0" relativeHeight="251658240" behindDoc="0" locked="0" layoutInCell="1" allowOverlap="1" wp14:anchorId="7D1B590A" wp14:editId="6D710E21">
          <wp:simplePos x="0" y="0"/>
          <wp:positionH relativeFrom="column">
            <wp:posOffset>-828675</wp:posOffset>
          </wp:positionH>
          <wp:positionV relativeFrom="paragraph">
            <wp:posOffset>-713740</wp:posOffset>
          </wp:positionV>
          <wp:extent cx="2228850" cy="1485900"/>
          <wp:effectExtent l="0" t="0" r="0" b="0"/>
          <wp:wrapThrough wrapText="bothSides">
            <wp:wrapPolygon edited="0">
              <wp:start x="3569" y="7385"/>
              <wp:lineTo x="2708" y="8677"/>
              <wp:lineTo x="2092" y="9969"/>
              <wp:lineTo x="2215" y="11631"/>
              <wp:lineTo x="3200" y="13662"/>
              <wp:lineTo x="3692" y="14031"/>
              <wp:lineTo x="5292" y="14031"/>
              <wp:lineTo x="5292" y="13662"/>
              <wp:lineTo x="17231" y="12554"/>
              <wp:lineTo x="17354" y="10708"/>
              <wp:lineTo x="19323" y="10708"/>
              <wp:lineTo x="19200" y="8677"/>
              <wp:lineTo x="5292" y="7385"/>
              <wp:lineTo x="3569" y="7385"/>
            </wp:wrapPolygon>
          </wp:wrapThrough>
          <wp:docPr id="230630311"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0630311" name="Picture 230630311"/>
                  <pic:cNvPicPr/>
                </pic:nvPicPr>
                <pic:blipFill>
                  <a:blip r:embed="rId1">
                    <a:extLst>
                      <a:ext uri="{28A0092B-C50C-407E-A947-70E740481C1C}">
                        <a14:useLocalDpi xmlns:a14="http://schemas.microsoft.com/office/drawing/2010/main" val="0"/>
                      </a:ext>
                    </a:extLst>
                  </a:blip>
                  <a:stretch>
                    <a:fillRect/>
                  </a:stretch>
                </pic:blipFill>
                <pic:spPr>
                  <a:xfrm>
                    <a:off x="0" y="0"/>
                    <a:ext cx="2228850" cy="1485900"/>
                  </a:xfrm>
                  <a:prstGeom prst="rect">
                    <a:avLst/>
                  </a:prstGeom>
                </pic:spPr>
              </pic:pic>
            </a:graphicData>
          </a:graphic>
          <wp14:sizeRelH relativeFrom="page">
            <wp14:pctWidth>0</wp14:pctWidth>
          </wp14:sizeRelH>
          <wp14:sizeRelV relativeFrom="page">
            <wp14:pctHeight>0</wp14:pctHeight>
          </wp14:sizeRelV>
        </wp:anchor>
      </w:drawing>
    </w:r>
    <w:r>
      <w:t xml:space="preserve">   B253500</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DC748A4"/>
    <w:multiLevelType w:val="hybridMultilevel"/>
    <w:tmpl w:val="F8CEA3CC"/>
    <w:lvl w:ilvl="0" w:tplc="000F0409">
      <w:start w:val="1"/>
      <w:numFmt w:val="decimal"/>
      <w:lvlText w:val="%1."/>
      <w:lvlJc w:val="left"/>
      <w:pPr>
        <w:tabs>
          <w:tab w:val="num" w:pos="360"/>
        </w:tabs>
        <w:ind w:left="360" w:hanging="360"/>
      </w:pPr>
    </w:lvl>
    <w:lvl w:ilvl="1" w:tplc="00190409" w:tentative="1">
      <w:start w:val="1"/>
      <w:numFmt w:val="lowerLetter"/>
      <w:lvlText w:val="%2."/>
      <w:lvlJc w:val="left"/>
      <w:pPr>
        <w:tabs>
          <w:tab w:val="num" w:pos="1080"/>
        </w:tabs>
        <w:ind w:left="1080" w:hanging="360"/>
      </w:pPr>
    </w:lvl>
    <w:lvl w:ilvl="2" w:tplc="001B0409" w:tentative="1">
      <w:start w:val="1"/>
      <w:numFmt w:val="lowerRoman"/>
      <w:lvlText w:val="%3."/>
      <w:lvlJc w:val="right"/>
      <w:pPr>
        <w:tabs>
          <w:tab w:val="num" w:pos="1800"/>
        </w:tabs>
        <w:ind w:left="1800" w:hanging="180"/>
      </w:pPr>
    </w:lvl>
    <w:lvl w:ilvl="3" w:tplc="000F0409" w:tentative="1">
      <w:start w:val="1"/>
      <w:numFmt w:val="decimal"/>
      <w:lvlText w:val="%4."/>
      <w:lvlJc w:val="left"/>
      <w:pPr>
        <w:tabs>
          <w:tab w:val="num" w:pos="2520"/>
        </w:tabs>
        <w:ind w:left="2520" w:hanging="360"/>
      </w:pPr>
    </w:lvl>
    <w:lvl w:ilvl="4" w:tplc="00190409" w:tentative="1">
      <w:start w:val="1"/>
      <w:numFmt w:val="lowerLetter"/>
      <w:lvlText w:val="%5."/>
      <w:lvlJc w:val="left"/>
      <w:pPr>
        <w:tabs>
          <w:tab w:val="num" w:pos="3240"/>
        </w:tabs>
        <w:ind w:left="3240" w:hanging="360"/>
      </w:pPr>
    </w:lvl>
    <w:lvl w:ilvl="5" w:tplc="001B0409" w:tentative="1">
      <w:start w:val="1"/>
      <w:numFmt w:val="lowerRoman"/>
      <w:lvlText w:val="%6."/>
      <w:lvlJc w:val="right"/>
      <w:pPr>
        <w:tabs>
          <w:tab w:val="num" w:pos="3960"/>
        </w:tabs>
        <w:ind w:left="3960" w:hanging="180"/>
      </w:pPr>
    </w:lvl>
    <w:lvl w:ilvl="6" w:tplc="000F0409" w:tentative="1">
      <w:start w:val="1"/>
      <w:numFmt w:val="decimal"/>
      <w:lvlText w:val="%7."/>
      <w:lvlJc w:val="left"/>
      <w:pPr>
        <w:tabs>
          <w:tab w:val="num" w:pos="4680"/>
        </w:tabs>
        <w:ind w:left="4680" w:hanging="360"/>
      </w:pPr>
    </w:lvl>
    <w:lvl w:ilvl="7" w:tplc="00190409" w:tentative="1">
      <w:start w:val="1"/>
      <w:numFmt w:val="lowerLetter"/>
      <w:lvlText w:val="%8."/>
      <w:lvlJc w:val="left"/>
      <w:pPr>
        <w:tabs>
          <w:tab w:val="num" w:pos="5400"/>
        </w:tabs>
        <w:ind w:left="5400" w:hanging="360"/>
      </w:pPr>
    </w:lvl>
    <w:lvl w:ilvl="8" w:tplc="001B0409" w:tentative="1">
      <w:start w:val="1"/>
      <w:numFmt w:val="lowerRoman"/>
      <w:lvlText w:val="%9."/>
      <w:lvlJc w:val="right"/>
      <w:pPr>
        <w:tabs>
          <w:tab w:val="num" w:pos="6120"/>
        </w:tabs>
        <w:ind w:left="6120" w:hanging="180"/>
      </w:pPr>
    </w:lvl>
  </w:abstractNum>
  <w:abstractNum w:abstractNumId="1" w15:restartNumberingAfterBreak="0">
    <w:nsid w:val="13316D0E"/>
    <w:multiLevelType w:val="hybridMultilevel"/>
    <w:tmpl w:val="16DEADD6"/>
    <w:lvl w:ilvl="0" w:tplc="00010409">
      <w:start w:val="1"/>
      <w:numFmt w:val="bullet"/>
      <w:lvlText w:val=""/>
      <w:lvlJc w:val="left"/>
      <w:pPr>
        <w:tabs>
          <w:tab w:val="num" w:pos="360"/>
        </w:tabs>
        <w:ind w:left="360" w:hanging="360"/>
      </w:pPr>
      <w:rPr>
        <w:rFonts w:ascii="Symbol" w:hAnsi="Symbol" w:hint="default"/>
      </w:rPr>
    </w:lvl>
    <w:lvl w:ilvl="1" w:tplc="00030409">
      <w:start w:val="1"/>
      <w:numFmt w:val="bullet"/>
      <w:lvlText w:val="o"/>
      <w:lvlJc w:val="left"/>
      <w:pPr>
        <w:tabs>
          <w:tab w:val="num" w:pos="1080"/>
        </w:tabs>
        <w:ind w:left="1080" w:hanging="360"/>
      </w:pPr>
      <w:rPr>
        <w:rFonts w:ascii="Courier New" w:hAnsi="Courier New" w:hint="default"/>
      </w:rPr>
    </w:lvl>
    <w:lvl w:ilvl="2" w:tplc="00050409" w:tentative="1">
      <w:start w:val="1"/>
      <w:numFmt w:val="bullet"/>
      <w:lvlText w:val=""/>
      <w:lvlJc w:val="left"/>
      <w:pPr>
        <w:tabs>
          <w:tab w:val="num" w:pos="1800"/>
        </w:tabs>
        <w:ind w:left="1800" w:hanging="360"/>
      </w:pPr>
      <w:rPr>
        <w:rFonts w:ascii="Wingdings" w:hAnsi="Wingdings" w:hint="default"/>
      </w:rPr>
    </w:lvl>
    <w:lvl w:ilvl="3" w:tplc="00010409" w:tentative="1">
      <w:start w:val="1"/>
      <w:numFmt w:val="bullet"/>
      <w:lvlText w:val=""/>
      <w:lvlJc w:val="left"/>
      <w:pPr>
        <w:tabs>
          <w:tab w:val="num" w:pos="2520"/>
        </w:tabs>
        <w:ind w:left="2520" w:hanging="360"/>
      </w:pPr>
      <w:rPr>
        <w:rFonts w:ascii="Symbol" w:hAnsi="Symbol" w:hint="default"/>
      </w:rPr>
    </w:lvl>
    <w:lvl w:ilvl="4" w:tplc="00030409" w:tentative="1">
      <w:start w:val="1"/>
      <w:numFmt w:val="bullet"/>
      <w:lvlText w:val="o"/>
      <w:lvlJc w:val="left"/>
      <w:pPr>
        <w:tabs>
          <w:tab w:val="num" w:pos="3240"/>
        </w:tabs>
        <w:ind w:left="3240" w:hanging="360"/>
      </w:pPr>
      <w:rPr>
        <w:rFonts w:ascii="Courier New" w:hAnsi="Courier New" w:hint="default"/>
      </w:rPr>
    </w:lvl>
    <w:lvl w:ilvl="5" w:tplc="00050409" w:tentative="1">
      <w:start w:val="1"/>
      <w:numFmt w:val="bullet"/>
      <w:lvlText w:val=""/>
      <w:lvlJc w:val="left"/>
      <w:pPr>
        <w:tabs>
          <w:tab w:val="num" w:pos="3960"/>
        </w:tabs>
        <w:ind w:left="3960" w:hanging="360"/>
      </w:pPr>
      <w:rPr>
        <w:rFonts w:ascii="Wingdings" w:hAnsi="Wingdings" w:hint="default"/>
      </w:rPr>
    </w:lvl>
    <w:lvl w:ilvl="6" w:tplc="00010409" w:tentative="1">
      <w:start w:val="1"/>
      <w:numFmt w:val="bullet"/>
      <w:lvlText w:val=""/>
      <w:lvlJc w:val="left"/>
      <w:pPr>
        <w:tabs>
          <w:tab w:val="num" w:pos="4680"/>
        </w:tabs>
        <w:ind w:left="4680" w:hanging="360"/>
      </w:pPr>
      <w:rPr>
        <w:rFonts w:ascii="Symbol" w:hAnsi="Symbol" w:hint="default"/>
      </w:rPr>
    </w:lvl>
    <w:lvl w:ilvl="7" w:tplc="00030409" w:tentative="1">
      <w:start w:val="1"/>
      <w:numFmt w:val="bullet"/>
      <w:lvlText w:val="o"/>
      <w:lvlJc w:val="left"/>
      <w:pPr>
        <w:tabs>
          <w:tab w:val="num" w:pos="5400"/>
        </w:tabs>
        <w:ind w:left="5400" w:hanging="360"/>
      </w:pPr>
      <w:rPr>
        <w:rFonts w:ascii="Courier New" w:hAnsi="Courier New" w:hint="default"/>
      </w:rPr>
    </w:lvl>
    <w:lvl w:ilvl="8" w:tplc="00050409" w:tentative="1">
      <w:start w:val="1"/>
      <w:numFmt w:val="bullet"/>
      <w:lvlText w:val=""/>
      <w:lvlJc w:val="left"/>
      <w:pPr>
        <w:tabs>
          <w:tab w:val="num" w:pos="6120"/>
        </w:tabs>
        <w:ind w:left="6120" w:hanging="360"/>
      </w:pPr>
      <w:rPr>
        <w:rFonts w:ascii="Wingdings" w:hAnsi="Wingdings" w:hint="default"/>
      </w:rPr>
    </w:lvl>
  </w:abstractNum>
  <w:abstractNum w:abstractNumId="2" w15:restartNumberingAfterBreak="0">
    <w:nsid w:val="22D8778E"/>
    <w:multiLevelType w:val="hybridMultilevel"/>
    <w:tmpl w:val="8EA280B6"/>
    <w:lvl w:ilvl="0" w:tplc="04190001">
      <w:start w:val="1"/>
      <w:numFmt w:val="bullet"/>
      <w:lvlText w:val=""/>
      <w:lvlJc w:val="left"/>
      <w:pPr>
        <w:ind w:left="1080" w:hanging="360"/>
      </w:pPr>
      <w:rPr>
        <w:rFonts w:ascii="Symbol" w:hAnsi="Symbol" w:hint="default"/>
      </w:rPr>
    </w:lvl>
    <w:lvl w:ilvl="1" w:tplc="04190003" w:tentative="1">
      <w:start w:val="1"/>
      <w:numFmt w:val="bullet"/>
      <w:lvlText w:val="o"/>
      <w:lvlJc w:val="left"/>
      <w:pPr>
        <w:ind w:left="1800" w:hanging="360"/>
      </w:pPr>
      <w:rPr>
        <w:rFonts w:ascii="Courier New" w:hAnsi="Courier New" w:cs="Courier New" w:hint="default"/>
      </w:rPr>
    </w:lvl>
    <w:lvl w:ilvl="2" w:tplc="04190005" w:tentative="1">
      <w:start w:val="1"/>
      <w:numFmt w:val="bullet"/>
      <w:lvlText w:val=""/>
      <w:lvlJc w:val="left"/>
      <w:pPr>
        <w:ind w:left="2520" w:hanging="360"/>
      </w:pPr>
      <w:rPr>
        <w:rFonts w:ascii="Wingdings" w:hAnsi="Wingdings" w:hint="default"/>
      </w:rPr>
    </w:lvl>
    <w:lvl w:ilvl="3" w:tplc="04190001" w:tentative="1">
      <w:start w:val="1"/>
      <w:numFmt w:val="bullet"/>
      <w:lvlText w:val=""/>
      <w:lvlJc w:val="left"/>
      <w:pPr>
        <w:ind w:left="3240" w:hanging="360"/>
      </w:pPr>
      <w:rPr>
        <w:rFonts w:ascii="Symbol" w:hAnsi="Symbol" w:hint="default"/>
      </w:rPr>
    </w:lvl>
    <w:lvl w:ilvl="4" w:tplc="04190003" w:tentative="1">
      <w:start w:val="1"/>
      <w:numFmt w:val="bullet"/>
      <w:lvlText w:val="o"/>
      <w:lvlJc w:val="left"/>
      <w:pPr>
        <w:ind w:left="3960" w:hanging="360"/>
      </w:pPr>
      <w:rPr>
        <w:rFonts w:ascii="Courier New" w:hAnsi="Courier New" w:cs="Courier New" w:hint="default"/>
      </w:rPr>
    </w:lvl>
    <w:lvl w:ilvl="5" w:tplc="04190005" w:tentative="1">
      <w:start w:val="1"/>
      <w:numFmt w:val="bullet"/>
      <w:lvlText w:val=""/>
      <w:lvlJc w:val="left"/>
      <w:pPr>
        <w:ind w:left="4680" w:hanging="360"/>
      </w:pPr>
      <w:rPr>
        <w:rFonts w:ascii="Wingdings" w:hAnsi="Wingdings" w:hint="default"/>
      </w:rPr>
    </w:lvl>
    <w:lvl w:ilvl="6" w:tplc="04190001" w:tentative="1">
      <w:start w:val="1"/>
      <w:numFmt w:val="bullet"/>
      <w:lvlText w:val=""/>
      <w:lvlJc w:val="left"/>
      <w:pPr>
        <w:ind w:left="5400" w:hanging="360"/>
      </w:pPr>
      <w:rPr>
        <w:rFonts w:ascii="Symbol" w:hAnsi="Symbol" w:hint="default"/>
      </w:rPr>
    </w:lvl>
    <w:lvl w:ilvl="7" w:tplc="04190003" w:tentative="1">
      <w:start w:val="1"/>
      <w:numFmt w:val="bullet"/>
      <w:lvlText w:val="o"/>
      <w:lvlJc w:val="left"/>
      <w:pPr>
        <w:ind w:left="6120" w:hanging="360"/>
      </w:pPr>
      <w:rPr>
        <w:rFonts w:ascii="Courier New" w:hAnsi="Courier New" w:cs="Courier New" w:hint="default"/>
      </w:rPr>
    </w:lvl>
    <w:lvl w:ilvl="8" w:tplc="04190005" w:tentative="1">
      <w:start w:val="1"/>
      <w:numFmt w:val="bullet"/>
      <w:lvlText w:val=""/>
      <w:lvlJc w:val="left"/>
      <w:pPr>
        <w:ind w:left="6840" w:hanging="360"/>
      </w:pPr>
      <w:rPr>
        <w:rFonts w:ascii="Wingdings" w:hAnsi="Wingdings" w:hint="default"/>
      </w:rPr>
    </w:lvl>
  </w:abstractNum>
  <w:abstractNum w:abstractNumId="3" w15:restartNumberingAfterBreak="0">
    <w:nsid w:val="2420299C"/>
    <w:multiLevelType w:val="singleLevel"/>
    <w:tmpl w:val="DFBE0652"/>
    <w:lvl w:ilvl="0">
      <w:start w:val="1"/>
      <w:numFmt w:val="lowerLetter"/>
      <w:lvlText w:val="%1)"/>
      <w:lvlJc w:val="left"/>
      <w:pPr>
        <w:tabs>
          <w:tab w:val="num" w:pos="720"/>
        </w:tabs>
        <w:ind w:left="720" w:hanging="720"/>
      </w:pPr>
      <w:rPr>
        <w:rFonts w:hint="default"/>
      </w:rPr>
    </w:lvl>
  </w:abstractNum>
  <w:abstractNum w:abstractNumId="4" w15:restartNumberingAfterBreak="0">
    <w:nsid w:val="27801AD4"/>
    <w:multiLevelType w:val="hybridMultilevel"/>
    <w:tmpl w:val="E5D49434"/>
    <w:lvl w:ilvl="0" w:tplc="04190001">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5" w15:restartNumberingAfterBreak="0">
    <w:nsid w:val="45910E9D"/>
    <w:multiLevelType w:val="hybridMultilevel"/>
    <w:tmpl w:val="79566FA8"/>
    <w:lvl w:ilvl="0" w:tplc="0419000F">
      <w:start w:val="1"/>
      <w:numFmt w:val="decimal"/>
      <w:lvlText w:val="%1."/>
      <w:lvlJc w:val="left"/>
      <w:pPr>
        <w:ind w:left="720" w:hanging="360"/>
      </w:p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6" w15:restartNumberingAfterBreak="0">
    <w:nsid w:val="55D62921"/>
    <w:multiLevelType w:val="hybridMultilevel"/>
    <w:tmpl w:val="3F8C63BE"/>
    <w:lvl w:ilvl="0" w:tplc="04190001">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7" w15:restartNumberingAfterBreak="0">
    <w:nsid w:val="69F80BE0"/>
    <w:multiLevelType w:val="hybridMultilevel"/>
    <w:tmpl w:val="1902C11C"/>
    <w:lvl w:ilvl="0" w:tplc="04190001">
      <w:start w:val="1"/>
      <w:numFmt w:val="bullet"/>
      <w:lvlText w:val=""/>
      <w:lvlJc w:val="left"/>
      <w:pPr>
        <w:ind w:left="720" w:hanging="360"/>
      </w:pPr>
      <w:rPr>
        <w:rFonts w:ascii="Symbol" w:hAnsi="Symbol" w:hint="default"/>
      </w:rPr>
    </w:lvl>
    <w:lvl w:ilvl="1" w:tplc="04190003">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8" w15:restartNumberingAfterBreak="0">
    <w:nsid w:val="79DA66F1"/>
    <w:multiLevelType w:val="hybridMultilevel"/>
    <w:tmpl w:val="D2745134"/>
    <w:lvl w:ilvl="0" w:tplc="04190001">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9" w15:restartNumberingAfterBreak="0">
    <w:nsid w:val="7CC321A3"/>
    <w:multiLevelType w:val="hybridMultilevel"/>
    <w:tmpl w:val="447248FE"/>
    <w:lvl w:ilvl="0" w:tplc="55865B6C">
      <w:start w:val="1"/>
      <w:numFmt w:val="bullet"/>
      <w:lvlText w:val=""/>
      <w:lvlJc w:val="left"/>
      <w:pPr>
        <w:tabs>
          <w:tab w:val="num" w:pos="360"/>
        </w:tabs>
        <w:ind w:left="360" w:hanging="360"/>
      </w:pPr>
      <w:rPr>
        <w:rFonts w:ascii="Symbol" w:hAnsi="Symbol" w:hint="default"/>
      </w:rPr>
    </w:lvl>
    <w:lvl w:ilvl="1" w:tplc="08090003" w:tentative="1">
      <w:start w:val="1"/>
      <w:numFmt w:val="bullet"/>
      <w:lvlText w:val="o"/>
      <w:lvlJc w:val="left"/>
      <w:pPr>
        <w:tabs>
          <w:tab w:val="num" w:pos="1440"/>
        </w:tabs>
        <w:ind w:left="1440" w:hanging="360"/>
      </w:pPr>
      <w:rPr>
        <w:rFonts w:ascii="Courier New" w:hAnsi="Courier New" w:cs="Courier New" w:hint="default"/>
      </w:rPr>
    </w:lvl>
    <w:lvl w:ilvl="2" w:tplc="08090005" w:tentative="1">
      <w:start w:val="1"/>
      <w:numFmt w:val="bullet"/>
      <w:lvlText w:val=""/>
      <w:lvlJc w:val="left"/>
      <w:pPr>
        <w:tabs>
          <w:tab w:val="num" w:pos="2160"/>
        </w:tabs>
        <w:ind w:left="2160" w:hanging="360"/>
      </w:pPr>
      <w:rPr>
        <w:rFonts w:ascii="Wingdings" w:hAnsi="Wingdings" w:hint="default"/>
      </w:rPr>
    </w:lvl>
    <w:lvl w:ilvl="3" w:tplc="08090001" w:tentative="1">
      <w:start w:val="1"/>
      <w:numFmt w:val="bullet"/>
      <w:lvlText w:val=""/>
      <w:lvlJc w:val="left"/>
      <w:pPr>
        <w:tabs>
          <w:tab w:val="num" w:pos="2880"/>
        </w:tabs>
        <w:ind w:left="2880" w:hanging="360"/>
      </w:pPr>
      <w:rPr>
        <w:rFonts w:ascii="Symbol" w:hAnsi="Symbol" w:hint="default"/>
      </w:rPr>
    </w:lvl>
    <w:lvl w:ilvl="4" w:tplc="08090003" w:tentative="1">
      <w:start w:val="1"/>
      <w:numFmt w:val="bullet"/>
      <w:lvlText w:val="o"/>
      <w:lvlJc w:val="left"/>
      <w:pPr>
        <w:tabs>
          <w:tab w:val="num" w:pos="3600"/>
        </w:tabs>
        <w:ind w:left="3600" w:hanging="360"/>
      </w:pPr>
      <w:rPr>
        <w:rFonts w:ascii="Courier New" w:hAnsi="Courier New" w:cs="Courier New" w:hint="default"/>
      </w:rPr>
    </w:lvl>
    <w:lvl w:ilvl="5" w:tplc="08090005" w:tentative="1">
      <w:start w:val="1"/>
      <w:numFmt w:val="bullet"/>
      <w:lvlText w:val=""/>
      <w:lvlJc w:val="left"/>
      <w:pPr>
        <w:tabs>
          <w:tab w:val="num" w:pos="4320"/>
        </w:tabs>
        <w:ind w:left="4320" w:hanging="360"/>
      </w:pPr>
      <w:rPr>
        <w:rFonts w:ascii="Wingdings" w:hAnsi="Wingdings" w:hint="default"/>
      </w:rPr>
    </w:lvl>
    <w:lvl w:ilvl="6" w:tplc="08090001" w:tentative="1">
      <w:start w:val="1"/>
      <w:numFmt w:val="bullet"/>
      <w:lvlText w:val=""/>
      <w:lvlJc w:val="left"/>
      <w:pPr>
        <w:tabs>
          <w:tab w:val="num" w:pos="5040"/>
        </w:tabs>
        <w:ind w:left="5040" w:hanging="360"/>
      </w:pPr>
      <w:rPr>
        <w:rFonts w:ascii="Symbol" w:hAnsi="Symbol" w:hint="default"/>
      </w:rPr>
    </w:lvl>
    <w:lvl w:ilvl="7" w:tplc="08090003" w:tentative="1">
      <w:start w:val="1"/>
      <w:numFmt w:val="bullet"/>
      <w:lvlText w:val="o"/>
      <w:lvlJc w:val="left"/>
      <w:pPr>
        <w:tabs>
          <w:tab w:val="num" w:pos="5760"/>
        </w:tabs>
        <w:ind w:left="5760" w:hanging="360"/>
      </w:pPr>
      <w:rPr>
        <w:rFonts w:ascii="Courier New" w:hAnsi="Courier New" w:cs="Courier New" w:hint="default"/>
      </w:rPr>
    </w:lvl>
    <w:lvl w:ilvl="8" w:tplc="08090005" w:tentative="1">
      <w:start w:val="1"/>
      <w:numFmt w:val="bullet"/>
      <w:lvlText w:val=""/>
      <w:lvlJc w:val="left"/>
      <w:pPr>
        <w:tabs>
          <w:tab w:val="num" w:pos="6480"/>
        </w:tabs>
        <w:ind w:left="6480" w:hanging="360"/>
      </w:pPr>
      <w:rPr>
        <w:rFonts w:ascii="Wingdings" w:hAnsi="Wingdings" w:hint="default"/>
      </w:rPr>
    </w:lvl>
  </w:abstractNum>
  <w:num w:numId="1" w16cid:durableId="2074312468">
    <w:abstractNumId w:val="3"/>
  </w:num>
  <w:num w:numId="2" w16cid:durableId="706024457">
    <w:abstractNumId w:val="1"/>
  </w:num>
  <w:num w:numId="3" w16cid:durableId="572928920">
    <w:abstractNumId w:val="9"/>
  </w:num>
  <w:num w:numId="4" w16cid:durableId="336421535">
    <w:abstractNumId w:val="0"/>
  </w:num>
  <w:num w:numId="5" w16cid:durableId="1140801607">
    <w:abstractNumId w:val="4"/>
  </w:num>
  <w:num w:numId="6" w16cid:durableId="1242527319">
    <w:abstractNumId w:val="5"/>
  </w:num>
  <w:num w:numId="7" w16cid:durableId="481849393">
    <w:abstractNumId w:val="6"/>
  </w:num>
  <w:num w:numId="8" w16cid:durableId="1142698384">
    <w:abstractNumId w:val="2"/>
  </w:num>
  <w:num w:numId="9" w16cid:durableId="1882744661">
    <w:abstractNumId w:val="8"/>
  </w:num>
  <w:num w:numId="10" w16cid:durableId="922374368">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54"/>
  <w:proofState w:spelling="clean"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43305"/>
    <w:rsid w:val="00023B84"/>
    <w:rsid w:val="00030CB4"/>
    <w:rsid w:val="00040E7D"/>
    <w:rsid w:val="0004245D"/>
    <w:rsid w:val="00052DD1"/>
    <w:rsid w:val="00076556"/>
    <w:rsid w:val="000D325D"/>
    <w:rsid w:val="000D4F36"/>
    <w:rsid w:val="000E2C8D"/>
    <w:rsid w:val="000F1795"/>
    <w:rsid w:val="00100DC3"/>
    <w:rsid w:val="0010114C"/>
    <w:rsid w:val="0010647D"/>
    <w:rsid w:val="00141365"/>
    <w:rsid w:val="00162558"/>
    <w:rsid w:val="0016357A"/>
    <w:rsid w:val="001A3A2E"/>
    <w:rsid w:val="001B1E7A"/>
    <w:rsid w:val="001D6CB3"/>
    <w:rsid w:val="001E0BED"/>
    <w:rsid w:val="001E0C9C"/>
    <w:rsid w:val="001E39C3"/>
    <w:rsid w:val="00232F13"/>
    <w:rsid w:val="00234EF1"/>
    <w:rsid w:val="00250652"/>
    <w:rsid w:val="00265E77"/>
    <w:rsid w:val="00273721"/>
    <w:rsid w:val="002770C3"/>
    <w:rsid w:val="00297D32"/>
    <w:rsid w:val="002B17F0"/>
    <w:rsid w:val="002C74A5"/>
    <w:rsid w:val="002E72E8"/>
    <w:rsid w:val="002F00E7"/>
    <w:rsid w:val="002F1826"/>
    <w:rsid w:val="00312076"/>
    <w:rsid w:val="00314A4B"/>
    <w:rsid w:val="00331D9D"/>
    <w:rsid w:val="003363FC"/>
    <w:rsid w:val="00337633"/>
    <w:rsid w:val="003479C1"/>
    <w:rsid w:val="00360140"/>
    <w:rsid w:val="003647CD"/>
    <w:rsid w:val="00364CC6"/>
    <w:rsid w:val="00396C35"/>
    <w:rsid w:val="003B13D1"/>
    <w:rsid w:val="003B53C2"/>
    <w:rsid w:val="003C7B21"/>
    <w:rsid w:val="003E3956"/>
    <w:rsid w:val="00413D1E"/>
    <w:rsid w:val="00436826"/>
    <w:rsid w:val="00440DA2"/>
    <w:rsid w:val="00447CC9"/>
    <w:rsid w:val="00451967"/>
    <w:rsid w:val="00464004"/>
    <w:rsid w:val="004757D9"/>
    <w:rsid w:val="0048506B"/>
    <w:rsid w:val="004D41E1"/>
    <w:rsid w:val="004D4A9A"/>
    <w:rsid w:val="004E6C94"/>
    <w:rsid w:val="004F448F"/>
    <w:rsid w:val="004F7BB5"/>
    <w:rsid w:val="00513224"/>
    <w:rsid w:val="00525F86"/>
    <w:rsid w:val="00530DC9"/>
    <w:rsid w:val="005377D7"/>
    <w:rsid w:val="005425DA"/>
    <w:rsid w:val="00547DE9"/>
    <w:rsid w:val="005B54B0"/>
    <w:rsid w:val="005B72C7"/>
    <w:rsid w:val="005D6C76"/>
    <w:rsid w:val="005E4972"/>
    <w:rsid w:val="0060001D"/>
    <w:rsid w:val="006243AE"/>
    <w:rsid w:val="00632C10"/>
    <w:rsid w:val="00634BDE"/>
    <w:rsid w:val="00636596"/>
    <w:rsid w:val="0066245E"/>
    <w:rsid w:val="00674DE7"/>
    <w:rsid w:val="00686276"/>
    <w:rsid w:val="0069107B"/>
    <w:rsid w:val="00702FCC"/>
    <w:rsid w:val="00703322"/>
    <w:rsid w:val="0074038C"/>
    <w:rsid w:val="0074064F"/>
    <w:rsid w:val="0076074B"/>
    <w:rsid w:val="00774B00"/>
    <w:rsid w:val="0078102A"/>
    <w:rsid w:val="00783404"/>
    <w:rsid w:val="007F686E"/>
    <w:rsid w:val="008017F9"/>
    <w:rsid w:val="00801A6D"/>
    <w:rsid w:val="008155A3"/>
    <w:rsid w:val="00822182"/>
    <w:rsid w:val="0082219D"/>
    <w:rsid w:val="00830FE5"/>
    <w:rsid w:val="0085320E"/>
    <w:rsid w:val="00856191"/>
    <w:rsid w:val="00862895"/>
    <w:rsid w:val="00876060"/>
    <w:rsid w:val="008839E2"/>
    <w:rsid w:val="008A2E35"/>
    <w:rsid w:val="008A47F1"/>
    <w:rsid w:val="008D73E1"/>
    <w:rsid w:val="008F671B"/>
    <w:rsid w:val="00945232"/>
    <w:rsid w:val="009541BA"/>
    <w:rsid w:val="00982DE1"/>
    <w:rsid w:val="00990D45"/>
    <w:rsid w:val="0099453E"/>
    <w:rsid w:val="0099589D"/>
    <w:rsid w:val="009A3A09"/>
    <w:rsid w:val="009B2F00"/>
    <w:rsid w:val="009D5183"/>
    <w:rsid w:val="009F3BE2"/>
    <w:rsid w:val="00A23FF9"/>
    <w:rsid w:val="00A338C6"/>
    <w:rsid w:val="00A40514"/>
    <w:rsid w:val="00A47E41"/>
    <w:rsid w:val="00A60FB3"/>
    <w:rsid w:val="00A62D23"/>
    <w:rsid w:val="00A707A4"/>
    <w:rsid w:val="00A87409"/>
    <w:rsid w:val="00A9363E"/>
    <w:rsid w:val="00AA006C"/>
    <w:rsid w:val="00AA0EC2"/>
    <w:rsid w:val="00AB0AF8"/>
    <w:rsid w:val="00AB75E9"/>
    <w:rsid w:val="00AC1B34"/>
    <w:rsid w:val="00B0316B"/>
    <w:rsid w:val="00B15B62"/>
    <w:rsid w:val="00B25D09"/>
    <w:rsid w:val="00B46AF0"/>
    <w:rsid w:val="00B477DB"/>
    <w:rsid w:val="00B772E1"/>
    <w:rsid w:val="00B8450B"/>
    <w:rsid w:val="00C03617"/>
    <w:rsid w:val="00C12690"/>
    <w:rsid w:val="00C453AD"/>
    <w:rsid w:val="00C5032E"/>
    <w:rsid w:val="00C54893"/>
    <w:rsid w:val="00C802F8"/>
    <w:rsid w:val="00C86B66"/>
    <w:rsid w:val="00CB7D42"/>
    <w:rsid w:val="00CC3D37"/>
    <w:rsid w:val="00CC5672"/>
    <w:rsid w:val="00CD3684"/>
    <w:rsid w:val="00CE797F"/>
    <w:rsid w:val="00D23B43"/>
    <w:rsid w:val="00D24564"/>
    <w:rsid w:val="00D26639"/>
    <w:rsid w:val="00D41530"/>
    <w:rsid w:val="00D423BB"/>
    <w:rsid w:val="00D608EF"/>
    <w:rsid w:val="00D958FD"/>
    <w:rsid w:val="00DB3B09"/>
    <w:rsid w:val="00DB5DB9"/>
    <w:rsid w:val="00DC3BC2"/>
    <w:rsid w:val="00DD5753"/>
    <w:rsid w:val="00E03B14"/>
    <w:rsid w:val="00E1228B"/>
    <w:rsid w:val="00E13F5E"/>
    <w:rsid w:val="00E43305"/>
    <w:rsid w:val="00E47931"/>
    <w:rsid w:val="00E6500E"/>
    <w:rsid w:val="00E81B94"/>
    <w:rsid w:val="00E832E8"/>
    <w:rsid w:val="00E8429D"/>
    <w:rsid w:val="00EB4BA7"/>
    <w:rsid w:val="00F15DA4"/>
    <w:rsid w:val="00F25176"/>
    <w:rsid w:val="00F5288C"/>
    <w:rsid w:val="00F87D6F"/>
    <w:rsid w:val="00FF0D4F"/>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45EDD792"/>
  <w15:docId w15:val="{1B0D0DBC-5D4C-4140-B267-0588A5E00B8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GB" w:eastAsia="en-GB" w:bidi="ar-SA"/>
      </w:rPr>
    </w:rPrDefault>
    <w:pPrDefault/>
  </w:docDefaults>
  <w:latentStyles w:defLockedState="0" w:defUIPriority="0" w:defSemiHidden="0" w:defUnhideWhenUsed="0" w:defQFormat="0" w:count="376">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2" w:semiHidden="1" w:unhideWhenUsed="1"/>
    <w:lsdException w:name="List 3"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qFormat="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qFormat="1"/>
    <w:lsdException w:name="Emphasis"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Pr>
      <w:sz w:val="24"/>
      <w:szCs w:val="24"/>
      <w:lang w:eastAsia="en-U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pPr>
      <w:tabs>
        <w:tab w:val="center" w:pos="4153"/>
        <w:tab w:val="right" w:pos="8306"/>
      </w:tabs>
    </w:pPr>
  </w:style>
  <w:style w:type="paragraph" w:styleId="Footer">
    <w:name w:val="footer"/>
    <w:basedOn w:val="Normal"/>
    <w:pPr>
      <w:tabs>
        <w:tab w:val="center" w:pos="4153"/>
        <w:tab w:val="right" w:pos="8306"/>
      </w:tabs>
    </w:pPr>
  </w:style>
  <w:style w:type="paragraph" w:styleId="BodyText">
    <w:name w:val="Body Text"/>
    <w:basedOn w:val="Normal"/>
    <w:pPr>
      <w:jc w:val="both"/>
    </w:pPr>
    <w:rPr>
      <w:rFonts w:ascii="Arial" w:hAnsi="Arial" w:cs="Arial"/>
      <w:sz w:val="32"/>
    </w:rPr>
  </w:style>
  <w:style w:type="paragraph" w:styleId="BodyText2">
    <w:name w:val="Body Text 2"/>
    <w:basedOn w:val="Normal"/>
    <w:pPr>
      <w:tabs>
        <w:tab w:val="left" w:pos="-1440"/>
        <w:tab w:val="left" w:pos="-720"/>
        <w:tab w:val="left" w:pos="0"/>
      </w:tabs>
      <w:suppressAutoHyphens/>
      <w:jc w:val="both"/>
    </w:pPr>
    <w:rPr>
      <w:rFonts w:ascii="Arial" w:hAnsi="Arial" w:cs="Arial"/>
      <w:bCs/>
      <w:iCs/>
    </w:rPr>
  </w:style>
  <w:style w:type="paragraph" w:styleId="BodyTextIndent">
    <w:name w:val="Body Text Indent"/>
    <w:basedOn w:val="Normal"/>
    <w:pPr>
      <w:keepNext/>
      <w:tabs>
        <w:tab w:val="left" w:pos="-1440"/>
        <w:tab w:val="left" w:pos="-720"/>
        <w:tab w:val="left" w:pos="0"/>
        <w:tab w:val="left" w:pos="360"/>
        <w:tab w:val="left" w:pos="720"/>
        <w:tab w:val="left" w:pos="1080"/>
        <w:tab w:val="left" w:pos="1440"/>
        <w:tab w:val="left" w:pos="1800"/>
        <w:tab w:val="left" w:pos="2160"/>
      </w:tabs>
      <w:suppressAutoHyphens/>
      <w:ind w:left="1080" w:hanging="1080"/>
      <w:jc w:val="both"/>
      <w:outlineLvl w:val="4"/>
    </w:pPr>
    <w:rPr>
      <w:rFonts w:ascii="Arial" w:hAnsi="Arial" w:cs="Arial"/>
      <w:b/>
      <w:i/>
      <w:sz w:val="28"/>
    </w:rPr>
  </w:style>
  <w:style w:type="paragraph" w:styleId="BodyText3">
    <w:name w:val="Body Text 3"/>
    <w:basedOn w:val="Normal"/>
    <w:pPr>
      <w:keepNext/>
      <w:tabs>
        <w:tab w:val="left" w:pos="-1440"/>
        <w:tab w:val="left" w:pos="-720"/>
        <w:tab w:val="left" w:pos="0"/>
        <w:tab w:val="left" w:pos="360"/>
        <w:tab w:val="left" w:pos="540"/>
        <w:tab w:val="left" w:pos="720"/>
        <w:tab w:val="left" w:pos="1440"/>
        <w:tab w:val="left" w:pos="1800"/>
        <w:tab w:val="left" w:pos="2160"/>
      </w:tabs>
      <w:suppressAutoHyphens/>
      <w:jc w:val="both"/>
      <w:outlineLvl w:val="4"/>
    </w:pPr>
    <w:rPr>
      <w:rFonts w:ascii="Arial" w:hAnsi="Arial" w:cs="Arial"/>
      <w:bCs/>
      <w:iCs/>
      <w:sz w:val="28"/>
    </w:rPr>
  </w:style>
  <w:style w:type="paragraph" w:styleId="BalloonText">
    <w:name w:val="Balloon Text"/>
    <w:basedOn w:val="Normal"/>
    <w:semiHidden/>
    <w:rsid w:val="00E832E8"/>
    <w:rPr>
      <w:rFonts w:ascii="Tahoma" w:hAnsi="Tahoma" w:cs="Tahoma"/>
      <w:sz w:val="16"/>
      <w:szCs w:val="16"/>
    </w:rPr>
  </w:style>
  <w:style w:type="character" w:styleId="Hyperlink">
    <w:name w:val="Hyperlink"/>
    <w:rsid w:val="00E81B94"/>
    <w:rPr>
      <w:color w:val="0000FF"/>
      <w:u w:val="single"/>
    </w:rPr>
  </w:style>
  <w:style w:type="character" w:styleId="UnresolvedMention">
    <w:name w:val="Unresolved Mention"/>
    <w:basedOn w:val="DefaultParagraphFont"/>
    <w:uiPriority w:val="99"/>
    <w:semiHidden/>
    <w:unhideWhenUsed/>
    <w:rsid w:val="00DC3BC2"/>
    <w:rPr>
      <w:color w:val="605E5C"/>
      <w:shd w:val="clear" w:color="auto" w:fill="E1DFDD"/>
    </w:rPr>
  </w:style>
  <w:style w:type="character" w:styleId="FollowedHyperlink">
    <w:name w:val="FollowedHyperlink"/>
    <w:basedOn w:val="DefaultParagraphFont"/>
    <w:semiHidden/>
    <w:unhideWhenUsed/>
    <w:rsid w:val="002770C3"/>
    <w:rPr>
      <w:color w:val="800080" w:themeColor="followedHyperlink"/>
      <w:u w:val="single"/>
    </w:rPr>
  </w:style>
  <w:style w:type="paragraph" w:styleId="ListParagraph">
    <w:name w:val="List Paragraph"/>
    <w:basedOn w:val="Normal"/>
    <w:uiPriority w:val="34"/>
    <w:qFormat/>
    <w:rsid w:val="00A9363E"/>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124423687">
      <w:bodyDiv w:val="1"/>
      <w:marLeft w:val="0"/>
      <w:marRight w:val="0"/>
      <w:marTop w:val="0"/>
      <w:marBottom w:val="0"/>
      <w:divBdr>
        <w:top w:val="none" w:sz="0" w:space="0" w:color="auto"/>
        <w:left w:val="none" w:sz="0" w:space="0" w:color="auto"/>
        <w:bottom w:val="none" w:sz="0" w:space="0" w:color="auto"/>
        <w:right w:val="none" w:sz="0" w:space="0" w:color="auto"/>
      </w:divBdr>
    </w:div>
    <w:div w:id="1347709438">
      <w:bodyDiv w:val="1"/>
      <w:marLeft w:val="0"/>
      <w:marRight w:val="0"/>
      <w:marTop w:val="0"/>
      <w:marBottom w:val="0"/>
      <w:divBdr>
        <w:top w:val="none" w:sz="0" w:space="0" w:color="auto"/>
        <w:left w:val="none" w:sz="0" w:space="0" w:color="auto"/>
        <w:bottom w:val="none" w:sz="0" w:space="0" w:color="auto"/>
        <w:right w:val="none" w:sz="0" w:space="0" w:color="auto"/>
      </w:divBdr>
    </w:div>
    <w:div w:id="1397821883">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header" Target="header1.xml"/></Relationships>
</file>

<file path=word/_rels/header1.xml.rels><?xml version='1.0' encoding='UTF-8' standalone='yes'?>
<Relationships xmlns="http://schemas.openxmlformats.org/package/2006/relationships"><Relationship Id="rId1"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33BD8BBF-8A0B-45AE-A6DA-7A94804CD81E}">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7</TotalTime>
  <Pages>2</Pages>
  <Words>10</Words>
  <Characters>63</Characters>
  <Application>Microsoft Office Word</Application>
  <DocSecurity>0</DocSecurity>
  <Lines>1</Lines>
  <Paragraphs>1</Paragraphs>
  <ScaleCrop>false</ScaleCrop>
  <HeadingPairs>
    <vt:vector size="4" baseType="variant">
      <vt:variant>
        <vt:lpstr>Title</vt:lpstr>
      </vt:variant>
      <vt:variant>
        <vt:i4>1</vt:i4>
      </vt:variant>
      <vt:variant>
        <vt:lpstr>Название</vt:lpstr>
      </vt:variant>
      <vt:variant>
        <vt:i4>1</vt:i4>
      </vt:variant>
    </vt:vector>
  </HeadingPairs>
  <TitlesOfParts>
    <vt:vector size="2" baseType="lpstr">
      <vt:lpstr>CV/ CAREER SUMMARY INFORMATION</vt:lpstr>
      <vt:lpstr>CV/ CAREER SUMMARY INFORMATION</vt:lpstr>
    </vt:vector>
  </TitlesOfParts>
  <Company>Management School</Company>
  <LinksUpToDate>false</LinksUpToDate>
  <CharactersWithSpaces>72</CharactersWithSpaces>
  <SharedDoc>false</SharedDoc>
  <HLinks>
    <vt:vector size="6" baseType="variant">
      <vt:variant>
        <vt:i4>2424943</vt:i4>
      </vt:variant>
      <vt:variant>
        <vt:i4>0</vt:i4>
      </vt:variant>
      <vt:variant>
        <vt:i4>0</vt:i4>
      </vt:variant>
      <vt:variant>
        <vt:i4>5</vt:i4>
      </vt:variant>
      <vt:variant>
        <vt:lpwstr>https://www.wiki.ed.ac.uk/pages/viewpage.action?pageId=46563494</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CV/ CAREER SUMMARY INFORMATION</dc:title>
  <dc:subject/>
  <dc:creator>Jackie Clark</dc:creator>
  <cp:keywords/>
  <dc:description/>
  <cp:lastModifiedBy>Azamat Kanatuly</cp:lastModifiedBy>
  <cp:revision>9</cp:revision>
  <cp:lastPrinted>2012-08-22T12:07:00Z</cp:lastPrinted>
  <dcterms:created xsi:type="dcterms:W3CDTF">2025-07-11T11:27:00Z</dcterms:created>
  <dcterms:modified xsi:type="dcterms:W3CDTF">2025-07-13T09:10:00Z</dcterms:modified>
</cp:coreProperties>
</file>