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19, 2025 at 08:57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MARKET SIZE &amp; ANALYSIS</w:t>
      </w:r>
    </w:p>
    <w:p>
      <w:pPr>
        <w:spacing w:line="360" w:lineRule="auto"/>
        <w:ind w:firstLine="0"/>
        <w:jc w:val="both"/>
      </w:pPr>
      <w:r>
        <w:rPr>
          <w:rFonts w:ascii="Times New Roman" w:hAnsi="Times New Roman"/>
          <w:sz w:val="24"/>
        </w:rPr>
        <w:t>TAM None, SAM None, SOM None; Market Penetration: 0.0 %</w:t>
      </w:r>
    </w:p>
    <w:p>
      <w:pPr>
        <w:spacing w:line="360" w:lineRule="auto"/>
        <w:ind w:firstLine="0"/>
        <w:jc w:val="both"/>
      </w:pPr>
      <w:r>
        <w:rPr>
          <w:rFonts w:ascii="Times New Roman" w:hAnsi="Times New Roman"/>
          <w:sz w:val="24"/>
        </w:rPr>
        <w:t>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6. COMPETITORS</w:t>
      </w:r>
    </w:p>
    <w:p>
      <w:pPr>
        <w:spacing w:line="360" w:lineRule="auto"/>
        <w:ind w:firstLine="0"/>
        <w:jc w:val="both"/>
      </w:pPr>
      <w:r>
        <w:rPr>
          <w:rFonts w:ascii="Times New Roman" w:hAnsi="Times New Roman"/>
          <w:sz w:val="24"/>
        </w:rPr>
        <w:t>• QuantumScape</w:t>
      </w:r>
    </w:p>
    <w:p>
      <w:pPr>
        <w:spacing w:line="360" w:lineRule="auto"/>
        <w:ind w:firstLine="0"/>
        <w:jc w:val="both"/>
      </w:pPr>
      <w:r>
        <w:rPr>
          <w:rFonts w:ascii="Times New Roman" w:hAnsi="Times New Roman"/>
          <w:sz w:val="24"/>
        </w:rPr>
        <w:t>• Differentiator: Focus on solidstate battery technology with proprietary ceramic separators enabling fast charging and longer battery life.</w:t>
      </w:r>
    </w:p>
    <w:p>
      <w:pPr>
        <w:spacing w:line="360" w:lineRule="auto"/>
        <w:ind w:firstLine="0"/>
        <w:jc w:val="both"/>
      </w:pPr>
      <w:r>
        <w:rPr>
          <w:rFonts w:ascii="Times New Roman" w:hAnsi="Times New Roman"/>
          <w:sz w:val="24"/>
        </w:rPr>
        <w:t>• Sila Nanotechnologies</w:t>
      </w:r>
    </w:p>
    <w:p>
      <w:pPr>
        <w:spacing w:line="360" w:lineRule="auto"/>
        <w:ind w:firstLine="0"/>
        <w:jc w:val="both"/>
      </w:pPr>
      <w:r>
        <w:rPr>
          <w:rFonts w:ascii="Times New Roman" w:hAnsi="Times New Roman"/>
          <w:sz w:val="24"/>
        </w:rPr>
        <w:t>• Differentiator: Proprietary silicondominant anode materials that significantly increase battery capacity without compromising lifecycle.</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 Differentiator: Use of silicon nanowire anodes enabling industryleading energy density and fast charging capabilities.</w:t>
      </w:r>
    </w:p>
    <w:p>
      <w:pPr>
        <w:spacing w:before="240" w:line="360" w:lineRule="auto" w:after="120"/>
        <w:ind w:firstLine="0"/>
        <w:jc w:val="both"/>
      </w:pPr>
      <w:r>
        <w:rPr>
          <w:rFonts w:ascii="Times New Roman" w:hAnsi="Times New Roman"/>
          <w:b/>
          <w:sz w:val="24"/>
        </w:rPr>
        <w:t>7. BUSINESS MODEL</w:t>
      </w:r>
    </w:p>
    <w:p>
      <w:pPr>
        <w:spacing w:line="360" w:lineRule="auto"/>
        <w:ind w:firstLine="0"/>
        <w:jc w:val="both"/>
      </w:pPr>
      <w:r>
        <w:rPr>
          <w:rFonts w:ascii="Times New Roman" w:hAnsi="Times New Roman"/>
          <w:sz w:val="24"/>
        </w:rPr>
        <w:t>StoreDot is developing extreme fast charging (XFC) battery technology aimed at accelerating electric vehicle (EV) mass adoption by drastically reducing charging times to about 10 minutes for 100 miles of range. Their core business model centers on licensing their proprietary silicon-dominant anode lithium-ion battery technology, which is compatible with existing Li-ion manufacturing lines, enabling scalable and cost-effective integration with OEMs and battery manufacturers. Key customer segments include EV original equipment manufacturers (OEMs) and battery producers, with over 15 partners currently testing their cells, targeting commercial readiness by 2025. StoreDot’s go-to-market strategy leverages its strong patent portfolio and early mover advantage (3-5 years lead) to embed its technology as a standard for fast charging, addressing “charging anxiety” and infrastructure limitations. The technology’s scalability and compatibility with current production processes position StoreDot well for rapid adoption as EV penetration exceeds 60% by 2030 in major markets. No recent pivots were noted; the company remains focused on advancing its 100inX roadmap with production readiness milestones in 2024 and beyond.</w:t>
      </w:r>
    </w:p>
    <w:p>
      <w:pPr>
        <w:spacing w:line="360" w:lineRule="auto"/>
        <w:ind w:firstLine="0"/>
        <w:jc w:val="both"/>
      </w:pPr>
      <w:r>
        <w:rPr>
          <w:rFonts w:ascii="Times New Roman" w:hAnsi="Times New Roman"/>
          <w:sz w:val="24"/>
        </w:rPr>
        <w:t>Sources: StoreDot April 2023 Corporate Overview; UBS Global EV Battery Makers report; company patent disclosures.</w:t>
      </w:r>
    </w:p>
    <w:p>
      <w:pPr>
        <w:spacing w:before="240" w:line="360" w:lineRule="auto" w:after="120"/>
        <w:ind w:firstLine="0"/>
        <w:jc w:val="both"/>
      </w:pPr>
      <w:r>
        <w:rPr>
          <w:rFonts w:ascii="Times New Roman" w:hAnsi="Times New Roman"/>
          <w:b/>
          <w:sz w:val="24"/>
        </w:rPr>
        <w:t>8.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9. PRODUCT/SERVICE DESCRIPTION</w:t>
      </w:r>
    </w:p>
    <w:p>
      <w:pPr>
        <w:spacing w:line="360" w:lineRule="auto"/>
        <w:ind w:firstLine="0"/>
        <w:jc w:val="both"/>
      </w:pPr>
      <w:r>
        <w:rPr>
          <w:rFonts w:ascii="Times New Roman" w:hAnsi="Times New Roman"/>
          <w:sz w:val="24"/>
        </w:rPr>
        <w:t>StoreDot is pioneering extreme fast charging (XFC) battery technology designed to significantly reduce electric vehicle (EV) charging times to approximately 10 minutes for 100 miles of range. This innovation aims to accelerate EV adoption by alleviating "charging anxiety" and addressing infrastructure challenges. StoreDot's business model focuses on licensing its proprietary silicon-dominant anode lithium-ion battery technology, which is compatible with existing manufacturing lines, facilitating scalable and cost-effective integration with OEMs and battery manufacturers.</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Extreme fast charging capability, reducing charging times to about 10 minutes for 100 miles.</w:t>
      </w:r>
    </w:p>
    <w:p>
      <w:pPr>
        <w:spacing w:line="360" w:lineRule="auto"/>
        <w:ind w:firstLine="0"/>
        <w:jc w:val="both"/>
      </w:pPr>
      <w:r>
        <w:rPr>
          <w:rFonts w:ascii="Times New Roman" w:hAnsi="Times New Roman"/>
          <w:sz w:val="24"/>
        </w:rPr>
        <w:t>• Silicondominant anode lithiumion battery technology.</w:t>
      </w:r>
    </w:p>
    <w:p>
      <w:pPr>
        <w:spacing w:line="360" w:lineRule="auto"/>
        <w:ind w:firstLine="0"/>
        <w:jc w:val="both"/>
      </w:pPr>
      <w:r>
        <w:rPr>
          <w:rFonts w:ascii="Times New Roman" w:hAnsi="Times New Roman"/>
          <w:sz w:val="24"/>
        </w:rPr>
        <w:t>• Compatibility with existing Liion manufacturing processes.</w:t>
      </w:r>
    </w:p>
    <w:p>
      <w:pPr>
        <w:spacing w:line="360" w:lineRule="auto"/>
        <w:ind w:firstLine="0"/>
        <w:jc w:val="both"/>
      </w:pPr>
      <w:r>
        <w:rPr>
          <w:rFonts w:ascii="Times New Roman" w:hAnsi="Times New Roman"/>
          <w:sz w:val="24"/>
        </w:rPr>
        <w:t>• Strong patent portfolio supporting technology differentiation and protection.</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Designed for rapid adoption as EV penetration increases, with scalability facilitated by compatibility with current production lines.</w:t>
      </w:r>
    </w:p>
    <w:p>
      <w:pPr>
        <w:spacing w:line="360" w:lineRule="auto"/>
        <w:ind w:firstLine="0"/>
        <w:jc w:val="both"/>
      </w:pPr>
      <w:r>
        <w:rPr>
          <w:rFonts w:ascii="Times New Roman" w:hAnsi="Times New Roman"/>
          <w:sz w:val="24"/>
        </w:rPr>
        <w:t>• Targeting commercial readiness by 2025, with over 15 partners testing the technology.</w:t>
      </w:r>
    </w:p>
    <w:p>
      <w:pPr>
        <w:spacing w:line="360" w:lineRule="auto"/>
        <w:ind w:firstLine="0"/>
        <w:jc w:val="both"/>
      </w:pPr>
      <w:r>
        <w:rPr>
          <w:rFonts w:ascii="Times New Roman" w:hAnsi="Times New Roman"/>
          <w:sz w:val="24"/>
        </w:rPr>
        <w:t>• Positioned to address infrastructure limitations and charging anxiety.</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Seamless integration with existing battery manufacturing processes, reducing the need for new infrastructure investments.</w:t>
      </w:r>
    </w:p>
    <w:p>
      <w:pPr>
        <w:spacing w:line="360" w:lineRule="auto"/>
        <w:ind w:firstLine="0"/>
        <w:jc w:val="both"/>
      </w:pPr>
      <w:r>
        <w:rPr>
          <w:rFonts w:ascii="Times New Roman" w:hAnsi="Times New Roman"/>
          <w:sz w:val="24"/>
        </w:rPr>
        <w:t>• Licensing model enables widespread adoption across multiple OEMs and battery producers.</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Not applicable or not mentioned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Focus on advancing the 100inX roadmap with production readiness milestones set for 2024 and beyond.</w:t>
      </w:r>
    </w:p>
    <w:p>
      <w:pPr>
        <w:spacing w:line="360" w:lineRule="auto"/>
        <w:ind w:firstLine="0"/>
        <w:jc w:val="both"/>
      </w:pPr>
      <w:r>
        <w:rPr>
          <w:rFonts w:ascii="Times New Roman" w:hAnsi="Times New Roman"/>
          <w:sz w:val="24"/>
        </w:rPr>
        <w:t>• No recent pivots, indicating a consistent strategic focus on the core technology.</w:t>
      </w:r>
    </w:p>
    <w:p>
      <w:pPr>
        <w:spacing w:line="360" w:lineRule="auto"/>
        <w:ind w:firstLine="0"/>
        <w:jc w:val="both"/>
      </w:pPr>
      <w:r>
        <w:rPr>
          <w:rFonts w:ascii="Times New Roman" w:hAnsi="Times New Roman"/>
          <w:sz w:val="24"/>
        </w:rPr>
        <w:t>Differentiation:</w:t>
      </w:r>
    </w:p>
    <w:p>
      <w:pPr>
        <w:spacing w:line="360" w:lineRule="auto"/>
        <w:ind w:firstLine="0"/>
        <w:jc w:val="both"/>
      </w:pPr>
      <w:r>
        <w:rPr>
          <w:rFonts w:ascii="Times New Roman" w:hAnsi="Times New Roman"/>
          <w:sz w:val="24"/>
        </w:rPr>
        <w:t>• StoreDot's early mover advantage, with a 35 year lead over competitors, positions it as a potential standard for fast charging technology.</w:t>
      </w:r>
    </w:p>
    <w:p>
      <w:pPr>
        <w:spacing w:line="360" w:lineRule="auto"/>
        <w:ind w:firstLine="0"/>
        <w:jc w:val="both"/>
      </w:pPr>
      <w:r>
        <w:rPr>
          <w:rFonts w:ascii="Times New Roman" w:hAnsi="Times New Roman"/>
          <w:sz w:val="24"/>
        </w:rPr>
        <w:t>• The technology's compatibility with existing manufacturing processes and its ability to drastically reduce charging times are key differentiators.</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Strengths:</w:t>
      </w:r>
    </w:p>
    <w:p>
      <w:pPr>
        <w:spacing w:line="360" w:lineRule="auto"/>
        <w:ind w:firstLine="0"/>
        <w:jc w:val="both"/>
      </w:pPr>
      <w:r>
        <w:rPr>
          <w:rFonts w:ascii="Times New Roman" w:hAnsi="Times New Roman"/>
          <w:sz w:val="24"/>
        </w:rPr>
        <w:t>• The technology addresses a critical barrier to EV adoption—charging time—potentially transforming consumer experience and infrastructure requirements.</w:t>
      </w:r>
    </w:p>
    <w:p>
      <w:pPr>
        <w:spacing w:line="360" w:lineRule="auto"/>
        <w:ind w:firstLine="0"/>
        <w:jc w:val="both"/>
      </w:pPr>
      <w:r>
        <w:rPr>
          <w:rFonts w:ascii="Times New Roman" w:hAnsi="Times New Roman"/>
          <w:sz w:val="24"/>
        </w:rPr>
        <w:t>• Compatibility with existing manufacturing lines offers a costeffective solution for OEMs and battery manufacturers.</w:t>
      </w:r>
    </w:p>
    <w:p>
      <w:pPr>
        <w:spacing w:line="360" w:lineRule="auto"/>
        <w:ind w:firstLine="0"/>
        <w:jc w:val="both"/>
      </w:pPr>
      <w:r>
        <w:rPr>
          <w:rFonts w:ascii="Times New Roman" w:hAnsi="Times New Roman"/>
          <w:sz w:val="24"/>
        </w:rPr>
        <w:t>• A robust patent portfolio provides a competitive edge and protects intellectual property.</w:t>
      </w:r>
    </w:p>
    <w:p>
      <w:pPr>
        <w:spacing w:line="360" w:lineRule="auto"/>
        <w:ind w:firstLine="0"/>
        <w:jc w:val="both"/>
      </w:pPr>
      <w:r>
        <w:rPr>
          <w:rFonts w:ascii="Times New Roman" w:hAnsi="Times New Roman"/>
          <w:sz w:val="24"/>
        </w:rPr>
        <w:t>Areas for Further Clarification:</w:t>
      </w:r>
    </w:p>
    <w:p>
      <w:pPr>
        <w:spacing w:line="360" w:lineRule="auto"/>
        <w:ind w:firstLine="0"/>
        <w:jc w:val="both"/>
      </w:pPr>
      <w:r>
        <w:rPr>
          <w:rFonts w:ascii="Times New Roman" w:hAnsi="Times New Roman"/>
          <w:sz w:val="24"/>
        </w:rPr>
        <w:t>• Specific details on the cycle life and longterm performance of the batteries are not provided.</w:t>
      </w:r>
    </w:p>
    <w:p>
      <w:pPr>
        <w:spacing w:line="360" w:lineRule="auto"/>
        <w:ind w:firstLine="0"/>
        <w:jc w:val="both"/>
      </w:pPr>
      <w:r>
        <w:rPr>
          <w:rFonts w:ascii="Times New Roman" w:hAnsi="Times New Roman"/>
          <w:sz w:val="24"/>
        </w:rPr>
        <w:t>• The current status of the product development and any potential technical challenges remain unspecified.</w:t>
      </w:r>
    </w:p>
    <w:p>
      <w:pPr>
        <w:spacing w:line="360" w:lineRule="auto"/>
        <w:ind w:firstLine="0"/>
        <w:jc w:val="both"/>
      </w:pPr>
      <w:r>
        <w:rPr>
          <w:rFonts w:ascii="Times New Roman" w:hAnsi="Times New Roman"/>
          <w:sz w:val="24"/>
        </w:rPr>
        <w:t>• While the roadmap outlines milestones, more granular details on interim goals and timelines could enhance investor confidence.</w:t>
      </w:r>
    </w:p>
    <w:p>
      <w:pPr>
        <w:spacing w:line="360" w:lineRule="auto"/>
        <w:ind w:firstLine="0"/>
        <w:jc w:val="both"/>
      </w:pPr>
      <w:r>
        <w:rPr>
          <w:rFonts w:ascii="Times New Roman" w:hAnsi="Times New Roman"/>
          <w:sz w:val="24"/>
        </w:rPr>
        <w:t>Overall, StoreDot's XFC battery technology presents a compelling opportunity to revolutionize the EV market by significantly reducing charging times, with a strategic focus on scalability and integration. However, further clarity on performance metrics and development status would strengthen the investment case.</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19, 2025.</w:t>
      </w:r>
    </w:p>
    <w:p>
      <w:pPr>
        <w:spacing w:line="360" w:lineRule="auto"/>
        <w:ind w:firstLine="0"/>
        <w:jc w:val="both"/>
      </w:pPr>
      <w:r>
        <w:rPr>
          <w:rFonts w:ascii="Times New Roman" w:hAnsi="Times New Roman"/>
          <w:sz w:val="24"/>
        </w:rPr>
        <w:t>Potential revenue/valuation projections unavailable due to missing SOM.</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strength of StoreDot's leadership team is a critical factor in its potential for success in the competitive battery technology sector. Below is an analysis of the key team members, each bringing a wealth of experience and expertise to the company.</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CEO and Founder of StoreDot, a company pioneering extreme fastcharging battery technology for electric vehicles. Previously, he served as Senior Director of SanDisk's SSD Business Unit, establishing its Israel division and driving over $100M in revenue in under three years, and as VP Flash and Operations at msystems where he managed $1B in annual strategic sourcing. He also founded and led InnerPresence and cofounded Siftology.</w:t>
      </w:r>
    </w:p>
    <w:p>
      <w:pPr>
        <w:spacing w:line="360" w:lineRule="auto"/>
        <w:ind w:firstLine="0"/>
        <w:jc w:val="both"/>
      </w:pPr>
      <w:r>
        <w:rPr>
          <w:rFonts w:ascii="Times New Roman" w:hAnsi="Times New Roman"/>
          <w:sz w:val="24"/>
        </w:rPr>
        <w:t>Critical Analysis: Myersdorf's extensive background in the tech industry, particularly his leadership roles at SanDisk and msystems, demonstrates a strong track record in scaling operations and driving significant revenue growth. His entrepreneurial spirit is evident from his founding roles at InnerPresence and Siftology, which suggests a deep understanding of startup dynamics. His leadership at StoreDot, a company at the forefront of battery innovation, is well-aligned with his experience in managing high-growth tech ventures.</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is the Chief Financial Officer at StoreDot, a pioneer in extreme fastcharging battery technology. Previously, he served as CFO at Broadcom Israel, overseeing mergers and acquisitions, and as CFO EMEA at Convergys for a decade, managing operations across 30+ countries. Earlier, as VP of Finance at Radview Software, he led the company from seed stage to its NASDAQ IPO.</w:t>
      </w:r>
    </w:p>
    <w:p>
      <w:pPr>
        <w:spacing w:line="360" w:lineRule="auto"/>
        <w:ind w:firstLine="0"/>
        <w:jc w:val="both"/>
      </w:pPr>
      <w:r>
        <w:rPr>
          <w:rFonts w:ascii="Times New Roman" w:hAnsi="Times New Roman"/>
          <w:sz w:val="24"/>
        </w:rPr>
        <w:t>Critical Analysis: Halberstam's financial acumen is underscored by his successful track record in leading financial operations and strategic transactions at major tech companies. His experience with mergers and acquisitions at Broadcom and his role in taking Radview Software public provide him with a robust foundation to manage StoreDot's financial strategy. His ability to navigate complex financial landscapes will be crucial as StoreDot scales its operations and seeks further investment.</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is the Chairman of StoreDot, an Israeli company developing extreme fastcharging (XFC) battery technology for electric vehicles. He brings over 27 years of automotive industry experience, including serving as Group CEO of Tata Motors, President of GM Europe, and holding leadership roles at BMW. Forster also chairs Vesuvius plc and holds several other board positions, leveraging his expertise to drive strategic decisions in the mobility sector.</w:t>
      </w:r>
    </w:p>
    <w:p>
      <w:pPr>
        <w:spacing w:line="360" w:lineRule="auto"/>
        <w:ind w:firstLine="0"/>
        <w:jc w:val="both"/>
      </w:pPr>
      <w:r>
        <w:rPr>
          <w:rFonts w:ascii="Times New Roman" w:hAnsi="Times New Roman"/>
          <w:sz w:val="24"/>
        </w:rPr>
        <w:t>Critical Analysis: Forster's extensive experience in the automotive industry is a significant asset for StoreDot, particularly as the company seeks to integrate its technology within the electric vehicle market. His leadership roles at Tata Motors, GM Europe, and BMW highlight his capability in managing large-scale operations and strategic initiatives. His current board roles further enhance his strategic oversight, positioning him to effectively guide StoreDot's growth and partnerships within the automotive sector.</w:t>
      </w:r>
    </w:p>
    <w:p>
      <w:pPr>
        <w:spacing w:line="360" w:lineRule="auto"/>
        <w:ind w:firstLine="0"/>
        <w:jc w:val="both"/>
      </w:pPr>
      <w:r>
        <w:rPr>
          <w:rFonts w:ascii="Times New Roman" w:hAnsi="Times New Roman"/>
          <w:sz w:val="24"/>
        </w:rPr>
        <w:t>Overall, the leadership team at StoreDot is well-equipped with diverse expertise in technology, finance, and automotive industries, providing a solid foundation for the company's ambitious goals in the battery technology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developing extreme fast charging (XFC) battery technology aimed at accelerating electric vehicle (EV) adoption by addressing key barriers such as charging time and infrastructure limitations. Their lithium-ion based batteries promise charging times of around 10 minutes with high cycle life (&gt;1200 cycles) and minimal degradation, supporting sustainability through cobalt reduction and compatibility with existing manufacturing lines, which may reduce environmental impact. Socially, the technology targets alleviating "charging anxiety," enhancing user convenience and EV accessibility, thus potentially increasing EV adoption and reducing fossil fuel dependence. Governance appears robust with experienced leadership and a global advisory board of EV and battery experts, though detailed ESG policies or disclosures are not provided. No recent ESG controversies or regulatory issues were found in available data. Further information on StoreDot’s environmental impact assessments, supply chain labor practices, and governance transparency would be needed for a comprehensive ESG evaluation.</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Risk: EV Adoption Rate Uncertainty</w:t>
      </w:r>
    </w:p>
    <w:p>
      <w:pPr>
        <w:spacing w:line="360" w:lineRule="auto"/>
        <w:ind w:firstLine="0"/>
        <w:jc w:val="both"/>
      </w:pPr>
      <w:r>
        <w:rPr>
          <w:rFonts w:ascii="Times New Roman" w:hAnsi="Times New Roman"/>
          <w:sz w:val="24"/>
        </w:rPr>
        <w:t>• Explanation: The success of StoreDot's extreme fast charging (XFC) battery technology is heavily dependent on the broader adoption of electric vehicles (EVs). While projections indicate that EV penetration could exceed 60% by 2030 in major markets, any deviation from this trajectory could impact demand for StoreDot's technology. Factors such as consumer acceptance, economic conditions, and government incentives play crucial roles in shaping EV adoption rates.</w:t>
      </w:r>
    </w:p>
    <w:p>
      <w:pPr>
        <w:spacing w:line="360" w:lineRule="auto"/>
        <w:ind w:firstLine="0"/>
        <w:jc w:val="both"/>
      </w:pPr>
      <w:r>
        <w:rPr>
          <w:rFonts w:ascii="Times New Roman" w:hAnsi="Times New Roman"/>
          <w:sz w:val="24"/>
        </w:rPr>
        <w:t>• Mitigation: StoreDot can mitigate this risk by diversifying its customer base beyond EV OEMs to include other sectors that could benefit from fastcharging technology, such as consumer electronics or energy storage solutions.</w:t>
      </w:r>
    </w:p>
    <w:p>
      <w:pPr>
        <w:spacing w:line="360" w:lineRule="auto"/>
        <w:ind w:firstLine="0"/>
        <w:jc w:val="both"/>
      </w:pPr>
      <w:r>
        <w:rPr>
          <w:rFonts w:ascii="Times New Roman" w:hAnsi="Times New Roman"/>
          <w:sz w:val="24"/>
        </w:rPr>
        <w:t>Technical Risk: Technology Scalability and Integration</w:t>
      </w:r>
    </w:p>
    <w:p>
      <w:pPr>
        <w:spacing w:line="360" w:lineRule="auto"/>
        <w:ind w:firstLine="0"/>
        <w:jc w:val="both"/>
      </w:pPr>
      <w:r>
        <w:rPr>
          <w:rFonts w:ascii="Times New Roman" w:hAnsi="Times New Roman"/>
          <w:sz w:val="24"/>
        </w:rPr>
        <w:t>• Explanation: Although StoreDot's technology is designed to be compatible with existing lithiumion manufacturing lines, scaling up production while maintaining quality and performance is a significant challenge. Any technical issues during the scaleup phase could delay commercialization and affect partnerships with OEMs and battery manufacturers.</w:t>
      </w:r>
    </w:p>
    <w:p>
      <w:pPr>
        <w:spacing w:line="360" w:lineRule="auto"/>
        <w:ind w:firstLine="0"/>
        <w:jc w:val="both"/>
      </w:pPr>
      <w:r>
        <w:rPr>
          <w:rFonts w:ascii="Times New Roman" w:hAnsi="Times New Roman"/>
          <w:sz w:val="24"/>
        </w:rPr>
        <w:t>• Mitigation: Continuous collaboration with manufacturing partners and investment in pilot production lines can help identify and resolve scalability issues early. Additionally, maintaining a robust R&amp;D pipeline to address potential technical hurdles is crucial.</w:t>
      </w:r>
    </w:p>
    <w:p>
      <w:pPr>
        <w:spacing w:line="360" w:lineRule="auto"/>
        <w:ind w:firstLine="0"/>
        <w:jc w:val="both"/>
      </w:pPr>
      <w:r>
        <w:rPr>
          <w:rFonts w:ascii="Times New Roman" w:hAnsi="Times New Roman"/>
          <w:sz w:val="24"/>
        </w:rPr>
        <w:t>Operational Risk: Supply Chain Dependencies</w:t>
      </w:r>
    </w:p>
    <w:p>
      <w:pPr>
        <w:spacing w:line="360" w:lineRule="auto"/>
        <w:ind w:firstLine="0"/>
        <w:jc w:val="both"/>
      </w:pPr>
      <w:r>
        <w:rPr>
          <w:rFonts w:ascii="Times New Roman" w:hAnsi="Times New Roman"/>
          <w:sz w:val="24"/>
        </w:rPr>
        <w:t>• Explanation: StoreDot's reliance on specific materials for its silicondominant anode technology could expose it to supply chain disruptions. Any shortages or price volatility in critical materials could impact production costs and timelines.</w:t>
      </w:r>
    </w:p>
    <w:p>
      <w:pPr>
        <w:spacing w:line="360" w:lineRule="auto"/>
        <w:ind w:firstLine="0"/>
        <w:jc w:val="both"/>
      </w:pPr>
      <w:r>
        <w:rPr>
          <w:rFonts w:ascii="Times New Roman" w:hAnsi="Times New Roman"/>
          <w:sz w:val="24"/>
        </w:rPr>
        <w:t>• Mitigation: Establishing longterm contracts with suppliers and exploring alternative materials or suppliers can reduce dependency risks. Additionally, investing in supply chain resilience and flexibility will be key to mitigating potential disruptions.</w:t>
      </w:r>
    </w:p>
    <w:p>
      <w:pPr>
        <w:spacing w:line="360" w:lineRule="auto"/>
        <w:ind w:firstLine="0"/>
        <w:jc w:val="both"/>
      </w:pPr>
      <w:r>
        <w:rPr>
          <w:rFonts w:ascii="Times New Roman" w:hAnsi="Times New Roman"/>
          <w:sz w:val="24"/>
        </w:rPr>
        <w:t>Regulatory Risk: Compliance and Standards</w:t>
      </w:r>
    </w:p>
    <w:p>
      <w:pPr>
        <w:spacing w:line="360" w:lineRule="auto"/>
        <w:ind w:firstLine="0"/>
        <w:jc w:val="both"/>
      </w:pPr>
      <w:r>
        <w:rPr>
          <w:rFonts w:ascii="Times New Roman" w:hAnsi="Times New Roman"/>
          <w:sz w:val="24"/>
        </w:rPr>
        <w:t>• Explanation: The battery technology sector is subject to stringent regulatory requirements and standards, which vary across regions. StoreDot must ensure its technology complies with these regulations to avoid delays in market entry and potential legal liabilities.</w:t>
      </w:r>
    </w:p>
    <w:p>
      <w:pPr>
        <w:spacing w:line="360" w:lineRule="auto"/>
        <w:ind w:firstLine="0"/>
        <w:jc w:val="both"/>
      </w:pPr>
      <w:r>
        <w:rPr>
          <w:rFonts w:ascii="Times New Roman" w:hAnsi="Times New Roman"/>
          <w:sz w:val="24"/>
        </w:rPr>
        <w:t>• Mitigation: Proactively engaging with regulatory bodies and participating in industry standardsetting initiatives can help StoreDot stay ahead of compliance requirements. Building a dedicated regulatory affairs team to navigate these complexities is also advisable.</w:t>
      </w:r>
    </w:p>
    <w:p>
      <w:pPr>
        <w:spacing w:line="360" w:lineRule="auto"/>
        <w:ind w:firstLine="0"/>
        <w:jc w:val="both"/>
      </w:pPr>
      <w:r>
        <w:rPr>
          <w:rFonts w:ascii="Times New Roman" w:hAnsi="Times New Roman"/>
          <w:sz w:val="24"/>
        </w:rPr>
        <w:t>Competitive Risk: Emerging Technologies and Competitors</w:t>
      </w:r>
    </w:p>
    <w:p>
      <w:pPr>
        <w:spacing w:line="360" w:lineRule="auto"/>
        <w:ind w:firstLine="0"/>
        <w:jc w:val="both"/>
      </w:pPr>
      <w:r>
        <w:rPr>
          <w:rFonts w:ascii="Times New Roman" w:hAnsi="Times New Roman"/>
          <w:sz w:val="24"/>
        </w:rPr>
        <w:t>• Explanation: The battery technology landscape is highly competitive, with numerous players investing in alternative fastcharging solutions. Emerging technologies could potentially offer superior performance or cost advantages, threatening StoreDot's early mover advantage.</w:t>
      </w:r>
    </w:p>
    <w:p>
      <w:pPr>
        <w:spacing w:line="360" w:lineRule="auto"/>
        <w:ind w:firstLine="0"/>
        <w:jc w:val="both"/>
      </w:pPr>
      <w:r>
        <w:rPr>
          <w:rFonts w:ascii="Times New Roman" w:hAnsi="Times New Roman"/>
          <w:sz w:val="24"/>
        </w:rPr>
        <w:t>• Mitigation: To maintain its competitive edge, StoreDot should continue to invest in its patent portfolio and R&amp;D efforts, ensuring its technology remains at the forefront of innovation. Strategic partnerships and collaborations can also enhance its market position.</w:t>
      </w:r>
    </w:p>
    <w:p>
      <w:pPr>
        <w:spacing w:line="360" w:lineRule="auto"/>
        <w:ind w:firstLine="0"/>
        <w:jc w:val="both"/>
      </w:pPr>
      <w:r>
        <w:rPr>
          <w:rFonts w:ascii="Times New Roman" w:hAnsi="Times New Roman"/>
          <w:sz w:val="24"/>
        </w:rPr>
        <w:t>By addressing these risks through strategic planning and proactive measures, StoreDot can strengthen its position in the rapidly evolving battery technology market and capitalize on the growing demand for EV solutions.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a strong potential for mass adoption in the EV market. With a 3-5 years lead on alternative solutions and ongoing testing by OEMs and manufacturing partners, StoreDot could be an attractive acquisition target for major players in the automotive industry looking to enhance their EV offerings. An IPO could also be a viable exit strategy, especially if StoreDot continues to demonstrate technological superiority and scalability. However, more data on financials, market traction, and partnerships would be needed to assess the timing and feasibility of these exit scenarios.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geographic coverage of the 78 granted and 22 pending patents; assess potential IP risks or overlaps.</w:t>
      </w:r>
    </w:p>
    <w:p>
      <w:pPr>
        <w:spacing w:line="360" w:lineRule="auto"/>
        <w:ind w:firstLine="0"/>
        <w:jc w:val="both"/>
      </w:pPr>
      <w:r>
        <w:rPr>
          <w:rFonts w:ascii="Times New Roman" w:hAnsi="Times New Roman"/>
          <w:sz w:val="24"/>
        </w:rPr>
        <w:t>• Understand any known limitations or degradation modes not disclosed in the materials.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ind w:firstLine="0"/>
        <w:jc w:val="both"/>
      </w:pPr>
      <w:r>
        <w:rPr>
          <w:rFonts w:ascii="Times New Roman" w:hAnsi="Times New Roman"/>
          <w:sz w:val="24"/>
        </w:rPr>
        <w:t>• Confirm commitments or LOIs from OEMs for commercial adoption starting 2025.</w:t>
      </w:r>
    </w:p>
    <w:p>
      <w:pPr>
        <w:spacing w:line="360" w:lineRule="auto"/>
        <w:ind w:firstLine="0"/>
        <w:jc w:val="both"/>
      </w:pPr>
      <w:r>
        <w:rPr>
          <w:rFonts w:ascii="Times New Roman" w:hAnsi="Times New Roman"/>
          <w:sz w:val="24"/>
        </w:rPr>
        <w:t>• Assess manufacturing scaleup plans, capacity, and timelines for 2024 production readiness.</w:t>
      </w:r>
    </w:p>
    <w:p>
      <w:pPr>
        <w:spacing w:line="360" w:lineRule="auto"/>
        <w:ind w:firstLine="0"/>
        <w:jc w:val="both"/>
      </w:pPr>
      <w:r>
        <w:rPr>
          <w:rFonts w:ascii="Times New Roman" w:hAnsi="Times New Roman"/>
          <w:sz w:val="24"/>
        </w:rPr>
        <w:t>Technology Scalability &amp; Cost</w:t>
      </w:r>
    </w:p>
    <w:p>
      <w:pPr>
        <w:spacing w:line="360" w:lineRule="auto"/>
        <w:ind w:firstLine="0"/>
        <w:jc w:val="both"/>
      </w:pPr>
      <w:r>
        <w:rPr>
          <w:rFonts w:ascii="Times New Roman" w:hAnsi="Times New Roman"/>
          <w:sz w:val="24"/>
        </w:rPr>
        <w:t>• Request detailed cost modeling and comparison with incumbent Liion batteries and competing technologies.</w:t>
      </w:r>
    </w:p>
    <w:p>
      <w:pPr>
        <w:spacing w:line="360" w:lineRule="auto"/>
        <w:ind w:firstLine="0"/>
        <w:jc w:val="both"/>
      </w:pPr>
      <w:r>
        <w:rPr>
          <w:rFonts w:ascii="Times New Roman" w:hAnsi="Times New Roman"/>
          <w:sz w:val="24"/>
        </w:rPr>
        <w:t>• Verify compatibility claims with existing Liion production lines and identify any required CAPEX or retrofitting.</w:t>
      </w:r>
    </w:p>
    <w:p>
      <w:pPr>
        <w:spacing w:line="360" w:lineRule="auto"/>
        <w:ind w:firstLine="0"/>
        <w:jc w:val="both"/>
      </w:pPr>
      <w:r>
        <w:rPr>
          <w:rFonts w:ascii="Times New Roman" w:hAnsi="Times New Roman"/>
          <w:sz w:val="24"/>
        </w:rPr>
        <w:t>• Understand supply chain dependencies, especially for silicondominant anodes and semisolid state materials.</w:t>
      </w:r>
    </w:p>
    <w:p>
      <w:pPr>
        <w:spacing w:line="360" w:lineRule="auto"/>
        <w:ind w:firstLine="0"/>
        <w:jc w:val="both"/>
      </w:pPr>
      <w:r>
        <w:rPr>
          <w:rFonts w:ascii="Times New Roman" w:hAnsi="Times New Roman"/>
          <w:sz w:val="24"/>
        </w:rPr>
        <w:t>Competitive Landscape &amp; Differentiation</w:t>
      </w:r>
    </w:p>
    <w:p>
      <w:pPr>
        <w:spacing w:line="360" w:lineRule="auto"/>
        <w:ind w:firstLine="0"/>
        <w:jc w:val="both"/>
      </w:pPr>
      <w:r>
        <w:rPr>
          <w:rFonts w:ascii="Times New Roman" w:hAnsi="Times New Roman"/>
          <w:sz w:val="24"/>
        </w:rPr>
        <w:t>• Clarify StoreDot’s competitive advantages vs. emerging solidstate and semisolid state batteries beyond 2025.</w:t>
      </w:r>
    </w:p>
    <w:p>
      <w:pPr>
        <w:spacing w:line="360" w:lineRule="auto"/>
        <w:ind w:firstLine="0"/>
        <w:jc w:val="both"/>
      </w:pPr>
      <w:r>
        <w:rPr>
          <w:rFonts w:ascii="Times New Roman" w:hAnsi="Times New Roman"/>
          <w:sz w:val="24"/>
        </w:rPr>
        <w:t>• Assess risk of technology obsolescence given competitors’ timelines and investments.</w:t>
      </w:r>
    </w:p>
    <w:p>
      <w:pPr>
        <w:spacing w:line="360" w:lineRule="auto"/>
        <w:ind w:firstLine="0"/>
        <w:jc w:val="both"/>
      </w:pPr>
      <w:r>
        <w:rPr>
          <w:rFonts w:ascii="Times New Roman" w:hAnsi="Times New Roman"/>
          <w:sz w:val="24"/>
        </w:rPr>
        <w:t>• Request benchmarking data on energy density, charging speed, cycle life, and cost vs. key competitors.</w:t>
      </w:r>
    </w:p>
    <w:p>
      <w:pPr>
        <w:spacing w:line="360" w:lineRule="auto"/>
        <w:ind w:firstLine="0"/>
        <w:jc w:val="both"/>
      </w:pPr>
      <w:r>
        <w:rPr>
          <w:rFonts w:ascii="Times New Roman" w:hAnsi="Times New Roman"/>
          <w:sz w:val="24"/>
        </w:rPr>
        <w:t>Commercial &amp; Market Strategy</w:t>
      </w:r>
    </w:p>
    <w:p>
      <w:pPr>
        <w:spacing w:line="360" w:lineRule="auto"/>
        <w:ind w:firstLine="0"/>
        <w:jc w:val="both"/>
      </w:pPr>
      <w:r>
        <w:rPr>
          <w:rFonts w:ascii="Times New Roman" w:hAnsi="Times New Roman"/>
          <w:sz w:val="24"/>
        </w:rPr>
        <w:t>• Detail gotomarket strategy, licensing model, and revenue projections for 20252030.</w:t>
      </w:r>
    </w:p>
    <w:p>
      <w:pPr>
        <w:spacing w:line="360" w:lineRule="auto"/>
        <w:ind w:firstLine="0"/>
        <w:jc w:val="both"/>
      </w:pPr>
      <w:r>
        <w:rPr>
          <w:rFonts w:ascii="Times New Roman" w:hAnsi="Times New Roman"/>
          <w:sz w:val="24"/>
        </w:rPr>
        <w:t>• Understand plans to address charging infrastructure and standardization challenges alongside battery tech.</w:t>
      </w:r>
    </w:p>
    <w:p>
      <w:pPr>
        <w:spacing w:line="360" w:lineRule="auto"/>
        <w:ind w:firstLine="0"/>
        <w:jc w:val="both"/>
      </w:pPr>
      <w:r>
        <w:rPr>
          <w:rFonts w:ascii="Times New Roman" w:hAnsi="Times New Roman"/>
          <w:sz w:val="24"/>
        </w:rPr>
        <w:t>• Evaluate customer adoption risks related to “charging anxiety” and infrastructure availability.</w:t>
      </w:r>
    </w:p>
    <w:p>
      <w:pPr>
        <w:spacing w:line="360" w:lineRule="auto"/>
        <w:ind w:firstLine="0"/>
        <w:jc w:val="both"/>
      </w:pPr>
      <w:r>
        <w:rPr>
          <w:rFonts w:ascii="Times New Roman" w:hAnsi="Times New Roman"/>
          <w:sz w:val="24"/>
        </w:rPr>
        <w:t>Financials &amp; Funding</w:t>
      </w:r>
    </w:p>
    <w:p>
      <w:pPr>
        <w:spacing w:line="360" w:lineRule="auto"/>
        <w:ind w:firstLine="0"/>
        <w:jc w:val="both"/>
      </w:pPr>
      <w:r>
        <w:rPr>
          <w:rFonts w:ascii="Times New Roman" w:hAnsi="Times New Roman"/>
          <w:sz w:val="24"/>
        </w:rPr>
        <w:t>• Request current financials, burn rate, and funding runway.</w:t>
      </w:r>
    </w:p>
    <w:p>
      <w:pPr>
        <w:spacing w:line="360" w:lineRule="auto"/>
        <w:ind w:firstLine="0"/>
        <w:jc w:val="both"/>
      </w:pPr>
      <w:r>
        <w:rPr>
          <w:rFonts w:ascii="Times New Roman" w:hAnsi="Times New Roman"/>
          <w:sz w:val="24"/>
        </w:rPr>
        <w:t>• Clarify capital requirements for scaling production and R&amp;D roadmap through 2032.</w:t>
      </w:r>
    </w:p>
    <w:p>
      <w:pPr>
        <w:spacing w:line="360" w:lineRule="auto"/>
        <w:ind w:firstLine="0"/>
        <w:jc w:val="both"/>
      </w:pPr>
      <w:r>
        <w:rPr>
          <w:rFonts w:ascii="Times New Roman" w:hAnsi="Times New Roman"/>
          <w:sz w:val="24"/>
        </w:rPr>
        <w:t>• Understand exit strategy and valuation expectations.</w:t>
      </w:r>
    </w:p>
    <w:p>
      <w:pPr>
        <w:spacing w:line="360" w:lineRule="auto"/>
        <w:ind w:firstLine="0"/>
        <w:jc w:val="both"/>
      </w:pPr>
      <w:r>
        <w:rPr>
          <w:rFonts w:ascii="Times New Roman" w:hAnsi="Times New Roman"/>
          <w:sz w:val="24"/>
        </w:rPr>
        <w:t>Regulatory &amp; Sustainability</w:t>
      </w:r>
    </w:p>
    <w:p>
      <w:pPr>
        <w:spacing w:line="360" w:lineRule="auto"/>
        <w:ind w:firstLine="0"/>
        <w:jc w:val="both"/>
      </w:pPr>
      <w:r>
        <w:rPr>
          <w:rFonts w:ascii="Times New Roman" w:hAnsi="Times New Roman"/>
          <w:sz w:val="24"/>
        </w:rPr>
        <w:t>• Confirm compliance with relevant automotive and battery safety standards.</w:t>
      </w:r>
    </w:p>
    <w:p>
      <w:pPr>
        <w:spacing w:line="360" w:lineRule="auto"/>
        <w:ind w:firstLine="0"/>
        <w:jc w:val="both"/>
      </w:pPr>
      <w:r>
        <w:rPr>
          <w:rFonts w:ascii="Times New Roman" w:hAnsi="Times New Roman"/>
          <w:sz w:val="24"/>
        </w:rPr>
        <w:t>• Detail sustainability initiatives, including cobalt reduction and endoflife battery recycling plans.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technical deepdive with CTO and R&amp;D team.</w:t>
      </w:r>
    </w:p>
    <w:p>
      <w:pPr>
        <w:spacing w:line="360" w:lineRule="auto"/>
        <w:ind w:firstLine="0"/>
        <w:jc w:val="both"/>
      </w:pPr>
      <w:r>
        <w:rPr>
          <w:rFonts w:ascii="Times New Roman" w:hAnsi="Times New Roman"/>
          <w:sz w:val="24"/>
        </w:rPr>
        <w:t>• Conduct reference checks with OEM partners.</w:t>
      </w:r>
    </w:p>
    <w:p>
      <w:pPr>
        <w:spacing w:line="360" w:lineRule="auto"/>
        <w:ind w:firstLine="0"/>
        <w:jc w:val="both"/>
      </w:pPr>
      <w:r>
        <w:rPr>
          <w:rFonts w:ascii="Times New Roman" w:hAnsi="Times New Roman"/>
          <w:sz w:val="24"/>
        </w:rPr>
        <w:t>• Engage external battery technology experts for independent assessment.</w:t>
      </w:r>
    </w:p>
    <w:p>
      <w:pPr>
        <w:spacing w:line="360" w:lineRule="auto"/>
        <w:ind w:firstLine="0"/>
        <w:jc w:val="both"/>
      </w:pPr>
      <w:r>
        <w:rPr>
          <w:rFonts w:ascii="Times New Roman" w:hAnsi="Times New Roman"/>
          <w:sz w:val="24"/>
        </w:rPr>
        <w:t>• Review detailed financial model and funding plan.</w:t>
      </w:r>
    </w:p>
    <w:p>
      <w:pPr>
        <w:spacing w:line="360" w:lineRule="auto"/>
        <w:ind w:firstLine="0"/>
        <w:jc w:val="both"/>
      </w:pPr>
      <w:r>
        <w:rPr>
          <w:rFonts w:ascii="Times New Roman" w:hAnsi="Times New Roman"/>
          <w:sz w:val="24"/>
        </w:rPr>
        <w:t>• Monitor regulatory landscape and infrastructure developments impacting adoption.</w:t>
      </w:r>
    </w:p>
    <w:p>
      <w:pPr>
        <w:spacing w:line="360" w:lineRule="auto"/>
        <w:ind w:firstLine="0"/>
        <w:jc w:val="both"/>
      </w:pPr>
      <w:r>
        <w:rPr>
          <w:rFonts w:ascii="Times New Roman" w:hAnsi="Times New Roman"/>
          <w:sz w:val="24"/>
        </w:rPr>
        <w:t>• If these points are addressed satisfactorily, proceed to term sheet drafting.</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18.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Technology Addressing a Critical Pain Point: StoreDot’s silicondominant anode lithiumion battery technology promises extreme fast charging (XFC) — 100 miles in 510 minutes — directly tackling “charging anxiety,” a major barrier to EV adoption.</w:t>
      </w:r>
    </w:p>
    <w:p>
      <w:pPr>
        <w:spacing w:line="360" w:lineRule="auto"/>
        <w:ind w:firstLine="0"/>
        <w:jc w:val="both"/>
      </w:pPr>
      <w:r>
        <w:rPr>
          <w:rFonts w:ascii="Times New Roman" w:hAnsi="Times New Roman"/>
          <w:sz w:val="24"/>
        </w:rPr>
        <w:t>• Compatibility &amp; Scalability: The technology’s compatibility with existing Liion manufacturing lines reduces capital expenditure for OEMs and battery producers, facilitating faster adoption and scale.</w:t>
      </w:r>
    </w:p>
    <w:p>
      <w:pPr>
        <w:spacing w:line="360" w:lineRule="auto"/>
        <w:ind w:firstLine="0"/>
        <w:jc w:val="both"/>
      </w:pPr>
      <w:r>
        <w:rPr>
          <w:rFonts w:ascii="Times New Roman" w:hAnsi="Times New Roman"/>
          <w:sz w:val="24"/>
        </w:rPr>
        <w:t>• Strong IP Position: With 78 granted US patents and 22 pending, StoreDot has a defensible moat and a 35 year lead over competitors, which is significant in a fastevolving sector.</w:t>
      </w:r>
    </w:p>
    <w:p>
      <w:pPr>
        <w:spacing w:line="360" w:lineRule="auto"/>
        <w:ind w:firstLine="0"/>
        <w:jc w:val="both"/>
      </w:pPr>
      <w:r>
        <w:rPr>
          <w:rFonts w:ascii="Times New Roman" w:hAnsi="Times New Roman"/>
          <w:sz w:val="24"/>
        </w:rPr>
        <w:t>• Experienced Leadership: The management team combines deep tech, financial, and automotive industry expertise, enhancing operational execution and strategic partnerships.</w:t>
      </w:r>
    </w:p>
    <w:p>
      <w:pPr>
        <w:spacing w:line="360" w:lineRule="auto"/>
        <w:ind w:firstLine="0"/>
        <w:jc w:val="both"/>
      </w:pPr>
      <w:r>
        <w:rPr>
          <w:rFonts w:ascii="Times New Roman" w:hAnsi="Times New Roman"/>
          <w:sz w:val="24"/>
        </w:rPr>
        <w:t>• Established OEM &amp; Manufacturing Partnerships: Over 15 partners currently testing the technology indicates early market validation and potential for commercial traction by 2025.</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Independent Technical Validation: No thirdparty verification of performance claims (charging speed, cycle life &gt;1200 cycles) or safety data is provided, raising questions about technology readiness and reliability.</w:t>
      </w:r>
    </w:p>
    <w:p>
      <w:pPr>
        <w:spacing w:line="360" w:lineRule="auto"/>
        <w:ind w:firstLine="0"/>
        <w:jc w:val="both"/>
      </w:pPr>
      <w:r>
        <w:rPr>
          <w:rFonts w:ascii="Times New Roman" w:hAnsi="Times New Roman"/>
          <w:sz w:val="24"/>
        </w:rPr>
        <w:t>• Opaque Financials &amp; Market Sizing: Absence of disclosed financials, TAM/SAM/SOM data, and revenue projections limits ability to assess commercial viability and investment returns.</w:t>
      </w:r>
    </w:p>
    <w:p>
      <w:pPr>
        <w:spacing w:line="360" w:lineRule="auto"/>
        <w:ind w:firstLine="0"/>
        <w:jc w:val="both"/>
      </w:pPr>
      <w:r>
        <w:rPr>
          <w:rFonts w:ascii="Times New Roman" w:hAnsi="Times New Roman"/>
          <w:sz w:val="24"/>
        </w:rPr>
        <w:t>• Unclear Commercial Commitments: While partnerships exist, no confirmed LOIs or binding agreements from OEMs for 2025 commercial adoption were disclosed.</w:t>
      </w:r>
    </w:p>
    <w:p>
      <w:pPr>
        <w:spacing w:line="360" w:lineRule="auto"/>
        <w:ind w:firstLine="0"/>
        <w:jc w:val="both"/>
      </w:pPr>
      <w:r>
        <w:rPr>
          <w:rFonts w:ascii="Times New Roman" w:hAnsi="Times New Roman"/>
          <w:sz w:val="24"/>
        </w:rPr>
        <w:t>• Limited Detail on Manufacturing ScaleUp: No specifics on production capacity, timelines, or cost structure for scaling the technology, which is critical for licensing success.</w:t>
      </w:r>
    </w:p>
    <w:p>
      <w:pPr>
        <w:spacing w:line="360" w:lineRule="auto"/>
        <w:ind w:firstLine="0"/>
        <w:jc w:val="both"/>
      </w:pPr>
      <w:r>
        <w:rPr>
          <w:rFonts w:ascii="Times New Roman" w:hAnsi="Times New Roman"/>
          <w:sz w:val="24"/>
        </w:rPr>
        <w:t>• Competitive Landscape Underexplored: Although competitors are listed, StoreDot’s differentiation beyond patent lead and compatibility claims needs clearer benchmarking against solidstate and other emerging chemistries.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 EV Adoption Tailwinds: Regulatory mandates and consumer demand for clean mobility create a rapidly expanding market, with EV penetration expected to exceed 60% by 2030 in key markets.</w:t>
      </w:r>
    </w:p>
    <w:p>
      <w:pPr>
        <w:spacing w:line="360" w:lineRule="auto"/>
        <w:ind w:firstLine="0"/>
        <w:jc w:val="both"/>
      </w:pPr>
      <w:r>
        <w:rPr>
          <w:rFonts w:ascii="Times New Roman" w:hAnsi="Times New Roman"/>
          <w:sz w:val="24"/>
        </w:rPr>
        <w:t>• FirstMover Advantage: Early mover status in XFC batteries could enable StoreDot to set industry standards and capture significant licensing revenue.</w:t>
      </w:r>
    </w:p>
    <w:p>
      <w:pPr>
        <w:spacing w:line="360" w:lineRule="auto"/>
        <w:ind w:firstLine="0"/>
        <w:jc w:val="both"/>
      </w:pPr>
      <w:r>
        <w:rPr>
          <w:rFonts w:ascii="Times New Roman" w:hAnsi="Times New Roman"/>
          <w:sz w:val="24"/>
        </w:rPr>
        <w:t>• Expansion Beyond EVs: Potential to license technology for other fastcharging applications (e.g., consumer electronics, grid storage) to diversify revenue streams.</w:t>
      </w:r>
    </w:p>
    <w:p>
      <w:pPr>
        <w:spacing w:line="360" w:lineRule="auto"/>
        <w:ind w:firstLine="0"/>
        <w:jc w:val="both"/>
      </w:pPr>
      <w:r>
        <w:rPr>
          <w:rFonts w:ascii="Times New Roman" w:hAnsi="Times New Roman"/>
          <w:sz w:val="24"/>
        </w:rPr>
        <w:t>• Strategic Acquisitions or IPO: Given the technology’s promise and partnerships, StoreDot could attract acquisition interest from OEMs or battery giants or pursue a public listing as a growth play.</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&amp; ScaleUp Risk: Transitioning from prototype/testing to mass production often reveals unforeseen challenges in yield, quality, and cost, which could delay commercialization.</w:t>
      </w:r>
    </w:p>
    <w:p>
      <w:pPr>
        <w:spacing w:line="360" w:lineRule="auto"/>
        <w:ind w:firstLine="0"/>
        <w:jc w:val="both"/>
      </w:pPr>
      <w:r>
        <w:rPr>
          <w:rFonts w:ascii="Times New Roman" w:hAnsi="Times New Roman"/>
          <w:sz w:val="24"/>
        </w:rPr>
        <w:t>• Supply Chain Vulnerabilities: Dependence on silicondominant anode materials exposes StoreDot to raw material shortages, price volatility, and geopolitical risks.</w:t>
      </w:r>
    </w:p>
    <w:p>
      <w:pPr>
        <w:spacing w:line="360" w:lineRule="auto"/>
        <w:ind w:firstLine="0"/>
        <w:jc w:val="both"/>
      </w:pPr>
      <w:r>
        <w:rPr>
          <w:rFonts w:ascii="Times New Roman" w:hAnsi="Times New Roman"/>
          <w:sz w:val="24"/>
        </w:rPr>
        <w:t>• Regulatory &amp; Safety Compliance: Battery technologies face stringent and evolving safety and environmental regulations; failure to comply could hinder market entry.</w:t>
      </w:r>
    </w:p>
    <w:p>
      <w:pPr>
        <w:spacing w:line="360" w:lineRule="auto"/>
        <w:ind w:firstLine="0"/>
        <w:jc w:val="both"/>
      </w:pPr>
      <w:r>
        <w:rPr>
          <w:rFonts w:ascii="Times New Roman" w:hAnsi="Times New Roman"/>
          <w:sz w:val="24"/>
        </w:rPr>
        <w:t>• Competitive Disruption: Emerging solidstate batteries and other chemistries may leapfrog StoreDot’s technology, eroding its lead and licensing potential.</w:t>
      </w:r>
    </w:p>
    <w:p>
      <w:pPr>
        <w:spacing w:line="360" w:lineRule="auto"/>
        <w:ind w:firstLine="0"/>
        <w:jc w:val="both"/>
      </w:pPr>
      <w:r>
        <w:rPr>
          <w:rFonts w:ascii="Times New Roman" w:hAnsi="Times New Roman"/>
          <w:sz w:val="24"/>
        </w:rPr>
        <w:t>• Market Adoption Uncertainty: EV adoption rates, infrastructure rollout, and consumer acceptance of new battery tech remain variable and influenced by macroeconomic factors.</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Independent Technical Validation: Prioritize obtaining third-party test results on charging speed, cycle life, safety, and degradation under real-world conditions before committing capital.</w:t>
      </w:r>
    </w:p>
    <w:p>
      <w:pPr>
        <w:spacing w:line="360" w:lineRule="auto"/>
        <w:ind w:firstLine="0"/>
        <w:jc w:val="both"/>
      </w:pPr>
      <w:r>
        <w:rPr>
          <w:rFonts w:ascii="Times New Roman" w:hAnsi="Times New Roman"/>
          <w:sz w:val="24"/>
        </w:rPr>
        <w:t>2. Clarify Commercial Traction: Secure detailed information on OEM partners, stages of engagement, and binding commitments or LOIs to gauge market readiness.</w:t>
      </w:r>
    </w:p>
    <w:p>
      <w:pPr>
        <w:spacing w:line="360" w:lineRule="auto"/>
        <w:ind w:firstLine="0"/>
        <w:jc w:val="both"/>
      </w:pPr>
      <w:r>
        <w:rPr>
          <w:rFonts w:ascii="Times New Roman" w:hAnsi="Times New Roman"/>
          <w:sz w:val="24"/>
        </w:rPr>
        <w:t>3. Request Financial Transparency: Insist on disclosure of current financials, burn rate, funding runway, and detailed cost models comparing StoreDot’s tech with incumbent batteries.</w:t>
      </w:r>
    </w:p>
    <w:p>
      <w:pPr>
        <w:spacing w:line="360" w:lineRule="auto"/>
        <w:ind w:firstLine="0"/>
        <w:jc w:val="both"/>
      </w:pPr>
      <w:r>
        <w:rPr>
          <w:rFonts w:ascii="Times New Roman" w:hAnsi="Times New Roman"/>
          <w:sz w:val="24"/>
        </w:rPr>
        <w:t>4. Evaluate Manufacturing Scale-Up Plans: Assess production readiness, capacity, CAPEX requirements, and supply chain robustness to understand execution risks.</w:t>
      </w:r>
    </w:p>
    <w:p>
      <w:pPr>
        <w:spacing w:line="360" w:lineRule="auto"/>
        <w:ind w:firstLine="0"/>
        <w:jc w:val="both"/>
      </w:pPr>
      <w:r>
        <w:rPr>
          <w:rFonts w:ascii="Times New Roman" w:hAnsi="Times New Roman"/>
          <w:sz w:val="24"/>
        </w:rPr>
        <w:t>5. Benchmark Competitors Rigorously: Conduct comparative analysis of StoreDot’s technology against solid-state and other silicon-anode players on key metrics (energy density, cost, cycle life).</w:t>
      </w:r>
    </w:p>
    <w:p>
      <w:pPr>
        <w:spacing w:line="360" w:lineRule="auto"/>
        <w:ind w:firstLine="0"/>
        <w:jc w:val="both"/>
      </w:pPr>
      <w:r>
        <w:rPr>
          <w:rFonts w:ascii="Times New Roman" w:hAnsi="Times New Roman"/>
          <w:sz w:val="24"/>
        </w:rPr>
        <w:t>6. Monitor Regulatory &amp; ESG Compliance: Ensure proactive engagement with regulatory bodies and clear sustainability initiatives, including cobalt reduction and recycling strategies.</w:t>
      </w:r>
    </w:p>
    <w:p>
      <w:pPr>
        <w:spacing w:before="240" w:line="360" w:lineRule="auto" w:after="120"/>
        <w:ind w:firstLine="0"/>
        <w:jc w:val="both"/>
      </w:pPr>
      <w:r>
        <w:rPr>
          <w:rFonts w:ascii="Times New Roman" w:hAnsi="Times New Roman"/>
          <w:b/>
          <w:sz w:val="24"/>
        </w:rPr>
        <w:t>7. Consider Strategic Partnership Opportunities: Explore co-investment or collaboration with OEMs or battery manufacturers to align incentives and accelerate adoption.</w:t>
      </w:r>
    </w:p>
    <w:p>
      <w:pPr>
        <w:spacing w:line="360" w:lineRule="auto"/>
        <w:ind w:firstLine="0"/>
        <w:jc w:val="both"/>
      </w:pPr>
      <w:r>
        <w:rPr>
          <w:rFonts w:ascii="Times New Roman" w:hAnsi="Times New Roman"/>
          <w:sz w:val="24"/>
        </w:rPr>
        <w:t>8. Prepare for Exit Scenarios: Track milestones closely to time potential IPO or acquisition, contingent on technology validation and commercial traction.</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high-potential, deep-tech investment opportunity with a breakthrough battery technology that could materially accelerate EV adoption by solving a critical pain point. The company’s strong IP, experienced leadership, and early OEM partnerships are notable strengths. However, significant uncertainties remain around independent validation, financial transparency, manufacturing scale-up, and competitive positioning. Investors should adopt a cautious, milestone-driven approach, emphasizing rigorous due diligence on technical claims and commercial commitments before proceeding. If these risks are mitigated, StoreDot could become a strategic asset in the fast-growing EV battery ecosystem with attractive exit potential.</w:t>
      </w:r>
    </w:p>
    <w:p>
      <w:pPr>
        <w:spacing w:line="360" w:lineRule="auto"/>
        <w:ind w:firstLine="0"/>
        <w:jc w:val="both"/>
      </w:pPr>
      <w:r>
        <w:rPr>
          <w:rFonts w:ascii="Times New Roman" w:hAnsi="Times New Roman"/>
          <w:sz w:val="24"/>
        </w:rPr>
        <w:t>Generated by VC Analysis System on July 19,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