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20, 2025 at 12:23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ind w:firstLine="0"/>
        <w:jc w:val="both"/>
      </w:pPr>
      <w:r>
        <w:rPr>
          <w:rFonts w:ascii="Times New Roman" w:hAnsi="Times New Roman"/>
          <w:sz w:val="24"/>
        </w:rPr>
        <w:t>INVESTMENT MEMORANDUM – StoreDot</w:t>
      </w: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a deep-tech startup specializing in extreme fast charging (XFC) battery technology designed to accelerate electric vehicle (EV) adoption by addressing the critical issue of charging speed, thereby mitigating "charging anxiety." The company's innovative approach integrates advanced cell chemistry and system engineering, featuring a unique anode and cathode design. StoreDot's business model focuses on developing and licensing silicon-dominant anode lithium-ion battery cells capable of charging 100 miles in just 5 minutes, with a commercial launch targeted for 2025. Their strategy includes partnerships with OEMs and battery manufacturers, leveraging compatibility with existing lithium-ion manufacturing lines for scalable deployment.</w:t>
      </w:r>
    </w:p>
    <w:p>
      <w:pPr>
        <w:spacing w:line="360" w:lineRule="auto"/>
        <w:ind w:firstLine="0"/>
        <w:jc w:val="both"/>
      </w:pPr>
      <w:r>
        <w:rPr>
          <w:rFonts w:ascii="Times New Roman" w:hAnsi="Times New Roman"/>
          <w:sz w:val="24"/>
        </w:rPr>
        <w:t>Key Features and Functionality:</w:t>
      </w:r>
    </w:p>
    <w:p>
      <w:pPr>
        <w:spacing w:line="360" w:lineRule="auto"/>
        <w:ind w:firstLine="0"/>
        <w:jc w:val="both"/>
      </w:pPr>
      <w:r>
        <w:rPr>
          <w:rFonts w:ascii="Times New Roman" w:hAnsi="Times New Roman"/>
          <w:sz w:val="24"/>
        </w:rPr>
        <w:t>• Silicondominant anode lithiumion battery cells</w:t>
      </w:r>
    </w:p>
    <w:p>
      <w:pPr>
        <w:spacing w:line="360" w:lineRule="auto"/>
        <w:ind w:firstLine="0"/>
        <w:jc w:val="both"/>
      </w:pPr>
      <w:r>
        <w:rPr>
          <w:rFonts w:ascii="Times New Roman" w:hAnsi="Times New Roman"/>
          <w:sz w:val="24"/>
        </w:rPr>
        <w:t>• Capable of charging 100 miles in 5 minutes</w:t>
      </w:r>
    </w:p>
    <w:p>
      <w:pPr>
        <w:spacing w:line="360" w:lineRule="auto"/>
        <w:ind w:firstLine="0"/>
        <w:jc w:val="both"/>
      </w:pPr>
      <w:r>
        <w:rPr>
          <w:rFonts w:ascii="Times New Roman" w:hAnsi="Times New Roman"/>
          <w:sz w:val="24"/>
        </w:rPr>
        <w:t>• Unique anode and cathode design</w:t>
      </w:r>
    </w:p>
    <w:p>
      <w:pPr>
        <w:spacing w:line="360" w:lineRule="auto"/>
        <w:ind w:firstLine="0"/>
        <w:jc w:val="both"/>
      </w:pPr>
      <w:r>
        <w:rPr>
          <w:rFonts w:ascii="Times New Roman" w:hAnsi="Times New Roman"/>
          <w:sz w:val="24"/>
        </w:rPr>
        <w:t>• Integration of AI and machine learning tools for optimization</w:t>
      </w:r>
    </w:p>
    <w:p>
      <w:pPr>
        <w:spacing w:line="360" w:lineRule="auto"/>
        <w:ind w:firstLine="0"/>
        <w:jc w:val="both"/>
      </w:pPr>
      <w:r>
        <w:rPr>
          <w:rFonts w:ascii="Times New Roman" w:hAnsi="Times New Roman"/>
          <w:sz w:val="24"/>
        </w:rPr>
        <w:t>Performance and Scalability:</w:t>
      </w:r>
    </w:p>
    <w:p>
      <w:pPr>
        <w:spacing w:line="360" w:lineRule="auto"/>
        <w:ind w:firstLine="0"/>
        <w:jc w:val="both"/>
      </w:pPr>
      <w:r>
        <w:rPr>
          <w:rFonts w:ascii="Times New Roman" w:hAnsi="Times New Roman"/>
          <w:sz w:val="24"/>
        </w:rPr>
        <w:t>• Designed for extreme fast charging (XFC)</w:t>
      </w:r>
    </w:p>
    <w:p>
      <w:pPr>
        <w:spacing w:line="360" w:lineRule="auto"/>
        <w:ind w:firstLine="0"/>
        <w:jc w:val="both"/>
      </w:pPr>
      <w:r>
        <w:rPr>
          <w:rFonts w:ascii="Times New Roman" w:hAnsi="Times New Roman"/>
          <w:sz w:val="24"/>
        </w:rPr>
        <w:t>• Compatibility with existing lithiumion manufacturing lines</w:t>
      </w:r>
    </w:p>
    <w:p>
      <w:pPr>
        <w:spacing w:line="360" w:lineRule="auto"/>
        <w:ind w:firstLine="0"/>
        <w:jc w:val="both"/>
      </w:pPr>
      <w:r>
        <w:rPr>
          <w:rFonts w:ascii="Times New Roman" w:hAnsi="Times New Roman"/>
          <w:sz w:val="24"/>
        </w:rPr>
        <w:t>• Targeted commercial readiness by 2025</w:t>
      </w:r>
    </w:p>
    <w:p>
      <w:pPr>
        <w:spacing w:line="360" w:lineRule="auto"/>
        <w:ind w:firstLine="0"/>
        <w:jc w:val="both"/>
      </w:pPr>
      <w:r>
        <w:rPr>
          <w:rFonts w:ascii="Times New Roman" w:hAnsi="Times New Roman"/>
          <w:sz w:val="24"/>
        </w:rPr>
        <w:t>• Ongoing testing with over 15 global OEMs</w:t>
      </w:r>
    </w:p>
    <w:p>
      <w:pPr>
        <w:spacing w:line="360" w:lineRule="auto"/>
        <w:ind w:firstLine="0"/>
        <w:jc w:val="both"/>
      </w:pPr>
      <w:r>
        <w:rPr>
          <w:rFonts w:ascii="Times New Roman" w:hAnsi="Times New Roman"/>
          <w:sz w:val="24"/>
        </w:rPr>
        <w:t>Extensibility and Integration:</w:t>
      </w:r>
    </w:p>
    <w:p>
      <w:pPr>
        <w:spacing w:line="360" w:lineRule="auto"/>
        <w:ind w:firstLine="0"/>
        <w:jc w:val="both"/>
      </w:pPr>
      <w:r>
        <w:rPr>
          <w:rFonts w:ascii="Times New Roman" w:hAnsi="Times New Roman"/>
          <w:sz w:val="24"/>
        </w:rPr>
        <w:t>• Licensing model for proprietary battery technology</w:t>
      </w:r>
    </w:p>
    <w:p>
      <w:pPr>
        <w:spacing w:line="360" w:lineRule="auto"/>
        <w:ind w:firstLine="0"/>
        <w:jc w:val="both"/>
      </w:pPr>
      <w:r>
        <w:rPr>
          <w:rFonts w:ascii="Times New Roman" w:hAnsi="Times New Roman"/>
          <w:sz w:val="24"/>
        </w:rPr>
        <w:t>• Strategic partnerships with OEMs and battery manufacturers</w:t>
      </w:r>
    </w:p>
    <w:p>
      <w:pPr>
        <w:spacing w:line="360" w:lineRule="auto"/>
        <w:ind w:firstLine="0"/>
        <w:jc w:val="both"/>
      </w:pPr>
      <w:r>
        <w:rPr>
          <w:rFonts w:ascii="Times New Roman" w:hAnsi="Times New Roman"/>
          <w:sz w:val="24"/>
        </w:rPr>
        <w:t>• Scalable and costeffective deployment strategy</w:t>
      </w:r>
    </w:p>
    <w:p>
      <w:pPr>
        <w:spacing w:line="360" w:lineRule="auto"/>
        <w:ind w:firstLine="0"/>
        <w:jc w:val="both"/>
      </w:pPr>
      <w:r>
        <w:rPr>
          <w:rFonts w:ascii="Times New Roman" w:hAnsi="Times New Roman"/>
          <w:sz w:val="24"/>
        </w:rPr>
        <w:t>Open-Source/Community Aspects:</w:t>
      </w:r>
    </w:p>
    <w:p>
      <w:pPr>
        <w:spacing w:line="360" w:lineRule="auto"/>
        <w:ind w:firstLine="0"/>
        <w:jc w:val="both"/>
      </w:pPr>
      <w:r>
        <w:rPr>
          <w:rFonts w:ascii="Times New Roman" w:hAnsi="Times New Roman"/>
          <w:sz w:val="24"/>
        </w:rPr>
        <w:t>• No opensource or community aspects mentioned</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 Clear roadmap through 2032</w:t>
      </w:r>
    </w:p>
    <w:p>
      <w:pPr>
        <w:spacing w:line="360" w:lineRule="auto"/>
        <w:ind w:firstLine="0"/>
        <w:jc w:val="both"/>
      </w:pPr>
      <w:r>
        <w:rPr>
          <w:rFonts w:ascii="Times New Roman" w:hAnsi="Times New Roman"/>
          <w:sz w:val="24"/>
        </w:rPr>
        <w:t>• Focus on incremental improvements in energy density and sustainability</w:t>
      </w:r>
    </w:p>
    <w:p>
      <w:pPr>
        <w:spacing w:line="360" w:lineRule="auto"/>
        <w:ind w:firstLine="0"/>
        <w:jc w:val="both"/>
      </w:pPr>
      <w:r>
        <w:rPr>
          <w:rFonts w:ascii="Times New Roman" w:hAnsi="Times New Roman"/>
          <w:sz w:val="24"/>
        </w:rPr>
        <w:t>Differentiation from Competitors:</w:t>
      </w:r>
    </w:p>
    <w:p>
      <w:pPr>
        <w:spacing w:line="360" w:lineRule="auto"/>
        <w:ind w:firstLine="0"/>
        <w:jc w:val="both"/>
      </w:pPr>
      <w:r>
        <w:rPr>
          <w:rFonts w:ascii="Times New Roman" w:hAnsi="Times New Roman"/>
          <w:sz w:val="24"/>
        </w:rPr>
        <w:t>StoreDot differentiates itself from competitors through its focus on extreme fast charging capabilities, which address a critical barrier to EV adoption: charging speed. Unlike emerging solid-state competitors, StoreDot's technology is compatible with existing lithium-ion manufacturing lines, facilitating a more seamless and cost-effective integration for manufacturers. The integration of AI and machine learning tools further enhances the optimization of their battery technology, providing a competitive edge in performance.</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Strengths:</w:t>
      </w:r>
    </w:p>
    <w:p>
      <w:pPr>
        <w:spacing w:line="360" w:lineRule="auto"/>
        <w:ind w:firstLine="0"/>
        <w:jc w:val="both"/>
      </w:pPr>
      <w:r>
        <w:rPr>
          <w:rFonts w:ascii="Times New Roman" w:hAnsi="Times New Roman"/>
          <w:sz w:val="24"/>
        </w:rPr>
        <w:t>• The ability to charge 100 miles in 5 minutes is a significant advancement in addressing charging anxiety.</w:t>
      </w:r>
    </w:p>
    <w:p>
      <w:pPr>
        <w:spacing w:line="360" w:lineRule="auto"/>
        <w:ind w:firstLine="0"/>
        <w:jc w:val="both"/>
      </w:pPr>
      <w:r>
        <w:rPr>
          <w:rFonts w:ascii="Times New Roman" w:hAnsi="Times New Roman"/>
          <w:sz w:val="24"/>
        </w:rPr>
        <w:t>• Compatibility with existing manufacturing lines offers a practical advantage for widespread adoption.</w:t>
      </w:r>
    </w:p>
    <w:p>
      <w:pPr>
        <w:spacing w:line="360" w:lineRule="auto"/>
        <w:ind w:firstLine="0"/>
        <w:jc w:val="both"/>
      </w:pPr>
      <w:r>
        <w:rPr>
          <w:rFonts w:ascii="Times New Roman" w:hAnsi="Times New Roman"/>
          <w:sz w:val="24"/>
        </w:rPr>
        <w:t>• Strong partnerships and ongoing testing with global OEMs validate the technology's potential.</w:t>
      </w:r>
    </w:p>
    <w:p>
      <w:pPr>
        <w:spacing w:line="360" w:lineRule="auto"/>
        <w:ind w:firstLine="0"/>
        <w:jc w:val="both"/>
      </w:pPr>
      <w:r>
        <w:rPr>
          <w:rFonts w:ascii="Times New Roman" w:hAnsi="Times New Roman"/>
          <w:sz w:val="24"/>
        </w:rPr>
        <w:t>Areas for Improvement:</w:t>
      </w:r>
    </w:p>
    <w:p>
      <w:pPr>
        <w:spacing w:line="360" w:lineRule="auto"/>
        <w:ind w:firstLine="0"/>
        <w:jc w:val="both"/>
      </w:pPr>
      <w:r>
        <w:rPr>
          <w:rFonts w:ascii="Times New Roman" w:hAnsi="Times New Roman"/>
          <w:sz w:val="24"/>
        </w:rPr>
        <w:t>• The product description lacks detailed specifications on cell format, cycle life, and performance metrics.</w:t>
      </w:r>
    </w:p>
    <w:p>
      <w:pPr>
        <w:spacing w:line="360" w:lineRule="auto"/>
        <w:ind w:firstLine="0"/>
        <w:jc w:val="both"/>
      </w:pPr>
      <w:r>
        <w:rPr>
          <w:rFonts w:ascii="Times New Roman" w:hAnsi="Times New Roman"/>
          <w:sz w:val="24"/>
        </w:rPr>
        <w:t>• While the roadmap is clear, more information on specific milestones and technological advancements would be beneficial.</w:t>
      </w:r>
    </w:p>
    <w:p>
      <w:pPr>
        <w:spacing w:line="360" w:lineRule="auto"/>
        <w:ind w:firstLine="0"/>
        <w:jc w:val="both"/>
      </w:pPr>
      <w:r>
        <w:rPr>
          <w:rFonts w:ascii="Times New Roman" w:hAnsi="Times New Roman"/>
          <w:sz w:val="24"/>
        </w:rPr>
        <w:t>• The absence of opensource or community engagement could limit collaborative innovation opportunities.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$116 billion by 2030, SAM None, SOM None; Market Penetration: 0.0 %</w:t>
      </w:r>
    </w:p>
    <w:p>
      <w:pPr>
        <w:spacing w:line="360" w:lineRule="auto"/>
        <w:ind w:firstLine="0"/>
        <w:jc w:val="both"/>
      </w:pPr>
      <w:r>
        <w:rPr>
          <w:rFonts w:ascii="Times New Roman" w:hAnsi="Times New Roman"/>
          <w:sz w:val="24"/>
        </w:rPr>
        <w:t>Market Growth Rate: 25%</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a focus on scalable manufacturing and integration with major automotive OEMs.</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Focus on silicon-dominant anode materials that boost battery performance while being compatible with current manufacturing infrastructure.</w:t>
      </w:r>
    </w:p>
    <w:p>
      <w:pPr>
        <w:spacing w:line="360" w:lineRule="auto"/>
        <w:ind w:firstLine="0"/>
        <w:jc w:val="both"/>
      </w:pPr>
      <w:r>
        <w:rPr>
          <w:rFonts w:ascii="Times New Roman" w:hAnsi="Times New Roman"/>
          <w:sz w:val="24"/>
        </w:rPr>
        <w:t>• Amprius Technologies (https://ir.amprius.com.)</w:t>
      </w:r>
    </w:p>
    <w:p>
      <w:pPr>
        <w:spacing w:line="360" w:lineRule="auto"/>
        <w:ind w:firstLine="0"/>
        <w:jc w:val="both"/>
      </w:pPr>
      <w:r>
        <w:rPr>
          <w:rFonts w:ascii="Times New Roman" w:hAnsi="Times New Roman"/>
          <w:sz w:val="24"/>
        </w:rPr>
        <w:t>Unique Value: Use of silicon nanowire anode technology enabling superior energy density and fast charge rates compared to conventional lithium-ion batteries.</w:t>
      </w:r>
    </w:p>
    <w:p>
      <w:pPr>
        <w:spacing w:line="360" w:lineRule="auto"/>
        <w:ind w:firstLine="0"/>
        <w:jc w:val="both"/>
      </w:pPr>
      <w:r>
        <w:rPr>
          <w:rFonts w:ascii="Times New Roman" w:hAnsi="Times New Roman"/>
          <w:sz w:val="24"/>
        </w:rPr>
        <w:t>1. StoreDot is a prominent player in the battery technology sector, known for its rapid-charging battery solutions, which differentiate it from competitors like QuantumScape, Sila Nanotechnologies, and Amprius Technologies. While QuantumScape focuses on solid-state battery technology, Sila Nanotechnologies is advancing silicon anode materials, and Amprius Technologies specializes in high-energy-density lithium-ion batteries. StoreDot's unique position in the market is bolstered by its emphasis on ultra-fast charging capabilities, setting it apart in an industry where reducing charging time is a critical competitive advantage.</w:t>
      </w:r>
    </w:p>
    <w:p>
      <w:pPr>
        <w:spacing w:line="360" w:lineRule="auto"/>
        <w:ind w:firstLine="0"/>
        <w:jc w:val="both"/>
      </w:pPr>
      <w:r>
        <w:rPr>
          <w:rFonts w:ascii="Times New Roman" w:hAnsi="Times New Roman"/>
          <w:sz w:val="24"/>
        </w:rPr>
        <w:t>2. QuantumScape: As of the latest updates, QuantumScape has been making progress in its solid-state battery technology, with recent announcements highlighting advancements in their battery performance and plans to scale up production. They have also been actively working on partnerships to accelerate commercialization.</w:t>
      </w:r>
    </w:p>
    <w:p>
      <w:pPr>
        <w:spacing w:line="360" w:lineRule="auto"/>
        <w:ind w:firstLine="0"/>
        <w:jc w:val="both"/>
      </w:pPr>
      <w:r>
        <w:rPr>
          <w:rFonts w:ascii="Times New Roman" w:hAnsi="Times New Roman"/>
          <w:sz w:val="24"/>
        </w:rPr>
        <w:t>Sila Nanotechnologies: Sila has recently announced significant partnerships, including collaborations with major automotive manufacturers to integrate their silicon anode technology into electric vehicles. They have also been focusing on scaling up production to meet growing demand.</w:t>
      </w:r>
    </w:p>
    <w:p>
      <w:pPr>
        <w:spacing w:line="360" w:lineRule="auto"/>
        <w:ind w:firstLine="0"/>
        <w:jc w:val="both"/>
      </w:pPr>
      <w:r>
        <w:rPr>
          <w:rFonts w:ascii="Times New Roman" w:hAnsi="Times New Roman"/>
          <w:sz w:val="24"/>
        </w:rPr>
        <w:t>Amprius Technologies: Amprius has been in the news for its efforts to expand its manufacturing capabilities, with recent announcements about new facilities aimed at increasing production of its high-energy-density batteries. They have also been involved in strategic partnerships to enhance their market reach.</w:t>
      </w:r>
    </w:p>
    <w:p>
      <w:pPr>
        <w:spacing w:line="360" w:lineRule="auto"/>
        <w:ind w:firstLine="0"/>
        <w:jc w:val="both"/>
      </w:pPr>
      <w:r>
        <w:rPr>
          <w:rFonts w:ascii="Times New Roman" w:hAnsi="Times New Roman"/>
          <w:sz w:val="24"/>
        </w:rPr>
        <w:t>If you need more specific or updated information, visiting the competitors' websites or checking recent press releases would be advisable.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StoreDot is a deep-tech startup focused on extreme fast charging (XFC) battery technology to accelerate electric vehicle (EV) adoption by addressing charging speed and "charging anxiety." Their core business model centers on developing and licensing advanced silicon-dominant anode lithium-ion battery cells capable of charging 100 miles in 5 minutes, with commercial readiness targeted for 2025. Revenue streams likely include licensing their proprietary battery technology and partnering with OEMs and battery manufacturers, as evidenced by ongoing testing with over 15 global OEMs. Their customer segments are primarily EV manufacturers and battery producers seeking to differentiate via superior charging performance. StoreDot’s go-to-market strategy leverages compatibility with existing lithium-ion manufacturing lines for scalable, cost-effective deployment, positioning them ahead of emerging solid-state competitors. Recent materials confirm no major pivots but emphasize a clear product roadmap through 2032, focusing on incremental improvements in energy density and sustainability. Sources: StoreDot April 2023 corporate overview; UBS Global EV Battery Makers report.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testing phase.</w:t>
      </w:r>
    </w:p>
    <w:p>
      <w:pPr>
        <w:spacing w:line="360" w:lineRule="auto"/>
        <w:ind w:firstLine="0"/>
        <w:jc w:val="both"/>
      </w:pPr>
      <w:r>
        <w:rPr>
          <w:rFonts w:ascii="Times New Roman" w:hAnsi="Times New Roman"/>
          <w:sz w:val="24"/>
        </w:rPr>
        <w:t>• Moat: Their innovation is based on a holistic design integrating cell chemistry and system engineering with a unique Anode and Cathode design.</w:t>
      </w:r>
    </w:p>
    <w:p>
      <w:pPr>
        <w:spacing w:line="360" w:lineRule="auto"/>
        <w:ind w:firstLine="0"/>
        <w:jc w:val="both"/>
      </w:pPr>
      <w:r>
        <w:rPr>
          <w:rFonts w:ascii="Times New Roman" w:hAnsi="Times New Roman"/>
          <w:sz w:val="24"/>
        </w:rPr>
        <w:t>• Tech Stack: EV battery technology with AI and machine learning tools for optimization.</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20,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The leadership team at StoreDot is composed of seasoned professionals with extensive experience in the technology and automotive sectors. Their collective expertise and strategic vision are crucial to the company's mission of pioneering extreme fast-charging battery technology for electric vehicles. Below is a detailed overview of the key team members:</w:t>
      </w:r>
    </w:p>
    <w:p>
      <w:pPr>
        <w:spacing w:line="360" w:lineRule="auto"/>
        <w:ind w:firstLine="0"/>
        <w:jc w:val="both"/>
      </w:pPr>
      <w:r>
        <w:rPr>
          <w:rFonts w:ascii="Times New Roman" w:hAnsi="Times New Roman"/>
          <w:sz w:val="24"/>
        </w:rPr>
        <w:t>• Doron Myersdorf,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Founder and CEO of StoreDot, a position he has held since the company's inception in 2012. With over a decade at the helm, Myersdorf has been instrumental in steering StoreDot towards its goal of revolutionizing battery technology. Prior to StoreDot, he was the Senior Director of SanDisk's SSD Business Unit, where he successfully established and managed the division in Israel, achieving over $100 million in revenue in under three years. His previous experience includes serving as VP of Flash and Operations at msystems, where he managed strategic sourcing and contributed to annual revenues exceeding $1.5 billion. Myersdorf's entrepreneurial spirit is further evidenced by his founding of InnerPresence and cofounding Siftology. His academic credentials include a Doctorate in R&amp;D Management, a Master's in Information Systems, and a Bachelor's in Industrial Engineering Management from Technion.</w:t>
      </w:r>
    </w:p>
    <w:p>
      <w:pPr>
        <w:spacing w:line="360" w:lineRule="auto"/>
        <w:ind w:firstLine="0"/>
        <w:jc w:val="both"/>
      </w:pPr>
      <w:r>
        <w:rPr>
          <w:rFonts w:ascii="Times New Roman" w:hAnsi="Times New Roman"/>
          <w:sz w:val="24"/>
        </w:rPr>
        <w:t>• Meir Halberstam,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Meir Halberstam serves as the Chief Financial Officer at StoreDot, bringing a wealth of financial expertise to the company. His previous role as CFO at Broadcom Israel saw him overseeing numerous mergers and acquisitions, showcasing his capability in managing complex financial operations. Halberstam's decadelong tenure as CFO EMEA at Convergys involved managing operations across more than 30 countries, highlighting his adeptness in handling largescale financial strategies. Earlier in his career, he was the VP of Finance at Radview Software, where he played a pivotal role in guiding the company from its seed stage to a successful IPO on NASDAQ. Halberstam is an Israeli certified public accountant and holds dual Bachelor's degrees in economics and accounting from BarIlan University.</w:t>
      </w:r>
    </w:p>
    <w:p>
      <w:pPr>
        <w:spacing w:line="360" w:lineRule="auto"/>
        <w:ind w:firstLine="0"/>
        <w:jc w:val="both"/>
      </w:pPr>
      <w:r>
        <w:rPr>
          <w:rFonts w:ascii="Times New Roman" w:hAnsi="Times New Roman"/>
          <w:sz w:val="24"/>
        </w:rPr>
        <w:t>• CarlPeter Forster,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is the Chairman of StoreDot, leveraging his extensive experience in the automotive industry to guide the company's strategic direction. Forster's illustrious career includes serving as the Group CEO and Managing Director of Tata Motors, where he oversaw operations including Jaguar Land Rover. His tenure as President and CEO of General Motors Europe further solidified his reputation as a leader in the automotive sector. With over 27 years of industry experience, Forster has also held senior management positions at BMW. In addition to his role at StoreDot, he serves on the boards of several prominent companies, including Vesuvius plc and Babcock International Group PLC, underscoring his influence and leadership within the industry.</w:t>
      </w:r>
    </w:p>
    <w:p>
      <w:pPr>
        <w:spacing w:line="360" w:lineRule="auto"/>
        <w:ind w:firstLine="0"/>
        <w:jc w:val="both"/>
      </w:pPr>
      <w:r>
        <w:rPr>
          <w:rFonts w:ascii="Times New Roman" w:hAnsi="Times New Roman"/>
          <w:sz w:val="24"/>
        </w:rPr>
        <w:t>The combined expertise of Myersdorf, Halberstam, and Forster positions StoreDot well to capitalize on its innovative battery technology and navigate the challenges of the rapidly evolving electric vehicle market. Their leadership is a significant asset to the company's growth and strategic initiatives.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is a battery technology startup focused on enabling extreme fast charging (XFC) for electric vehicles (EVs), aiming to address key barriers to EV adoption such as charging speed and infrastructure limitations. Their technology promises charging times of about 10 minutes with no degradation over 1200 cycles, leveraging scalable, lithium-ion compatible manufacturing and a cobalt-reduction approach that supports sustainability. Socially, StoreDot’s innovation could reduce "charging anxiety," enhancing user experience and accelerating EV mass adoption, which aligns with global decarbonization goals. Governance appears robust with experienced leadership from automotive and tech sectors, supported by a global advisory board of EV experts. However, there is limited public information on their environmental impact disclosures, supply chain labor practices, or detailed regulatory compliance status. No recent ESG controversies or negative news were found in available sources.</w:t>
      </w:r>
    </w:p>
    <w:p>
      <w:pPr>
        <w:spacing w:line="360" w:lineRule="auto"/>
        <w:ind w:firstLine="0"/>
        <w:jc w:val="both"/>
      </w:pPr>
      <w:r>
        <w:rPr>
          <w:rFonts w:ascii="Times New Roman" w:hAnsi="Times New Roman"/>
          <w:sz w:val="24"/>
        </w:rPr>
        <w:t>Sources: StoreDot April 2023 Corporate Overview; UBS EV Battery Market report; StoreDot patent portfolio details.</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Market Size Uncertainty</w:t>
      </w:r>
    </w:p>
    <w:p>
      <w:pPr>
        <w:spacing w:line="360" w:lineRule="auto"/>
        <w:ind w:firstLine="0"/>
        <w:jc w:val="both"/>
      </w:pPr>
      <w:r>
        <w:rPr>
          <w:rFonts w:ascii="Times New Roman" w:hAnsi="Times New Roman"/>
          <w:sz w:val="24"/>
        </w:rPr>
        <w:t>• Explanation: The market size for extreme fast charging (XFC) battery technology remains uncertain. While the electric vehicle (EV) market is growing, the specific demand for XFC technology is not welldefined. This uncertainty can impact StoreDot's ability to accurately forecast revenue and secure investment, as investors typically prefer markets with clear growth trajectories.</w:t>
      </w:r>
    </w:p>
    <w:p>
      <w:pPr>
        <w:spacing w:line="360" w:lineRule="auto"/>
        <w:ind w:firstLine="0"/>
        <w:jc w:val="both"/>
      </w:pPr>
      <w:r>
        <w:rPr>
          <w:rFonts w:ascii="Times New Roman" w:hAnsi="Times New Roman"/>
          <w:sz w:val="24"/>
        </w:rPr>
        <w:t>• Mitigation: StoreDot can conduct comprehensive market research to better understand potential demand and identify key growth drivers. Engaging with industry analysts and leveraging partnerships with OEMs can provide insights into market trends and customer needs.</w:t>
      </w:r>
    </w:p>
    <w:p>
      <w:pPr>
        <w:spacing w:line="360" w:lineRule="auto"/>
        <w:ind w:firstLine="0"/>
        <w:jc w:val="both"/>
      </w:pPr>
      <w:r>
        <w:rPr>
          <w:rFonts w:ascii="Times New Roman" w:hAnsi="Times New Roman"/>
          <w:sz w:val="24"/>
        </w:rPr>
        <w:t>Competitive Landscape Ambiguity</w:t>
      </w:r>
    </w:p>
    <w:p>
      <w:pPr>
        <w:spacing w:line="360" w:lineRule="auto"/>
        <w:ind w:firstLine="0"/>
        <w:jc w:val="both"/>
      </w:pPr>
      <w:r>
        <w:rPr>
          <w:rFonts w:ascii="Times New Roman" w:hAnsi="Times New Roman"/>
          <w:sz w:val="24"/>
        </w:rPr>
        <w:t>• Explanation: The competitive landscape for EV battery technology is rapidly evolving, with numerous players entering the market. StoreDot faces competition not only from traditional lithiumion battery manufacturers but also from emerging solidstate battery technologies. This ambiguity can lead to challenges in differentiating their product and maintaining a competitive edge.</w:t>
      </w:r>
    </w:p>
    <w:p>
      <w:pPr>
        <w:spacing w:line="360" w:lineRule="auto"/>
        <w:ind w:firstLine="0"/>
        <w:jc w:val="both"/>
      </w:pPr>
      <w:r>
        <w:rPr>
          <w:rFonts w:ascii="Times New Roman" w:hAnsi="Times New Roman"/>
          <w:sz w:val="24"/>
        </w:rPr>
        <w:t>• Mitigation: StoreDot should focus on strengthening its unique value proposition, such as its compatibility with existing manufacturing lines and its fastcharging capabilities. Building strong partnerships with OEMs and continuously innovating can help maintain a competitive advantage.</w:t>
      </w:r>
    </w:p>
    <w:p>
      <w:pPr>
        <w:spacing w:line="360" w:lineRule="auto"/>
        <w:ind w:firstLine="0"/>
        <w:jc w:val="both"/>
      </w:pPr>
      <w:r>
        <w:rPr>
          <w:rFonts w:ascii="Times New Roman" w:hAnsi="Times New Roman"/>
          <w:sz w:val="24"/>
        </w:rPr>
        <w:t>Technical Feasibility and Scalability</w:t>
      </w:r>
    </w:p>
    <w:p>
      <w:pPr>
        <w:spacing w:line="360" w:lineRule="auto"/>
        <w:ind w:firstLine="0"/>
        <w:jc w:val="both"/>
      </w:pPr>
      <w:r>
        <w:rPr>
          <w:rFonts w:ascii="Times New Roman" w:hAnsi="Times New Roman"/>
          <w:sz w:val="24"/>
        </w:rPr>
        <w:t>• Explanation: The technical feasibility of StoreDot's silicondominant anode lithiumion battery cells is critical to its success. Achieving commercial readiness by 2025 requires overcoming significant technical challenges related to scalability, reliability, and costeffectiveness.</w:t>
      </w:r>
    </w:p>
    <w:p>
      <w:pPr>
        <w:spacing w:line="360" w:lineRule="auto"/>
        <w:ind w:firstLine="0"/>
        <w:jc w:val="both"/>
      </w:pPr>
      <w:r>
        <w:rPr>
          <w:rFonts w:ascii="Times New Roman" w:hAnsi="Times New Roman"/>
          <w:sz w:val="24"/>
        </w:rPr>
        <w:t>• Mitigation: StoreDot can mitigate this risk by investing in R&amp;D to address technical challenges and by conducting extensive testing with OEM partners to validate performance and scalability. Collaborating with academic institutions and industry experts can also enhance technical capabilities.</w:t>
      </w:r>
    </w:p>
    <w:p>
      <w:pPr>
        <w:spacing w:before="240" w:line="360" w:lineRule="auto" w:after="120"/>
        <w:ind w:firstLine="0"/>
        <w:jc w:val="both"/>
      </w:pPr>
      <w:r>
        <w:rPr>
          <w:rFonts w:ascii="Times New Roman" w:hAnsi="Times New Roman"/>
          <w:b/>
          <w:sz w:val="24"/>
        </w:rPr>
        <w:t>Operational Execution Risks</w:t>
      </w:r>
    </w:p>
    <w:p>
      <w:pPr>
        <w:spacing w:line="360" w:lineRule="auto"/>
        <w:ind w:firstLine="0"/>
        <w:jc w:val="both"/>
      </w:pPr>
      <w:r>
        <w:rPr>
          <w:rFonts w:ascii="Times New Roman" w:hAnsi="Times New Roman"/>
          <w:sz w:val="24"/>
        </w:rPr>
        <w:t>• Explanation: As a deeptech startup, StoreDot faces operational risks related to scaling its technology and managing partnerships with OEMs and battery manufacturers. Effective execution is crucial to transitioning from development to commercialization.</w:t>
      </w:r>
    </w:p>
    <w:p>
      <w:pPr>
        <w:spacing w:line="360" w:lineRule="auto"/>
        <w:ind w:firstLine="0"/>
        <w:jc w:val="both"/>
      </w:pPr>
      <w:r>
        <w:rPr>
          <w:rFonts w:ascii="Times New Roman" w:hAnsi="Times New Roman"/>
          <w:sz w:val="24"/>
        </w:rPr>
        <w:t>• Mitigation: Building a strong operational team with experience in scaling technology and managing complex partnerships can mitigate this risk. Establishing clear operational processes and timelines can also help ensure successful execution.</w:t>
      </w:r>
    </w:p>
    <w:p>
      <w:pPr>
        <w:spacing w:line="360" w:lineRule="auto"/>
        <w:ind w:firstLine="0"/>
        <w:jc w:val="both"/>
      </w:pPr>
      <w:r>
        <w:rPr>
          <w:rFonts w:ascii="Times New Roman" w:hAnsi="Times New Roman"/>
          <w:sz w:val="24"/>
        </w:rPr>
        <w:t>Regulatory and Compliance Challenges</w:t>
      </w:r>
    </w:p>
    <w:p>
      <w:pPr>
        <w:spacing w:line="360" w:lineRule="auto"/>
        <w:ind w:firstLine="0"/>
        <w:jc w:val="both"/>
      </w:pPr>
      <w:r>
        <w:rPr>
          <w:rFonts w:ascii="Times New Roman" w:hAnsi="Times New Roman"/>
          <w:sz w:val="24"/>
        </w:rPr>
        <w:t>• Explanation: The battery technology sector is subject to stringent regulatory requirements and compliance standards. StoreDot must navigate these regulations to ensure its products meet safety and environmental standards, which can be a complex and resourceintensive process.</w:t>
      </w:r>
    </w:p>
    <w:p>
      <w:pPr>
        <w:spacing w:line="360" w:lineRule="auto"/>
        <w:ind w:firstLine="0"/>
        <w:jc w:val="both"/>
      </w:pPr>
      <w:r>
        <w:rPr>
          <w:rFonts w:ascii="Times New Roman" w:hAnsi="Times New Roman"/>
          <w:sz w:val="24"/>
        </w:rPr>
        <w:t>• Mitigation: StoreDot can proactively engage with regulatory bodies to stay informed about upcoming changes and ensure compliance. Hiring regulatory experts and implementing robust compliance processes can help navigate this challenging landscape.</w:t>
      </w:r>
    </w:p>
    <w:p>
      <w:pPr>
        <w:spacing w:line="360" w:lineRule="auto"/>
        <w:ind w:firstLine="0"/>
        <w:jc w:val="both"/>
      </w:pPr>
      <w:r>
        <w:rPr>
          <w:rFonts w:ascii="Times New Roman" w:hAnsi="Times New Roman"/>
          <w:sz w:val="24"/>
        </w:rPr>
        <w:t>Limited Financial Data Availability</w:t>
      </w:r>
    </w:p>
    <w:p>
      <w:pPr>
        <w:spacing w:line="360" w:lineRule="auto"/>
        <w:ind w:firstLine="0"/>
        <w:jc w:val="both"/>
      </w:pPr>
      <w:r>
        <w:rPr>
          <w:rFonts w:ascii="Times New Roman" w:hAnsi="Times New Roman"/>
          <w:sz w:val="24"/>
        </w:rPr>
        <w:t>• Explanation: The lack of comprehensive financial data poses a risk to potential investors, as it limits the ability to assess the company's financial health and growth prospects. This can hinder StoreDot's ability to attract investment and support its growth ambitions.</w:t>
      </w:r>
    </w:p>
    <w:p>
      <w:pPr>
        <w:spacing w:line="360" w:lineRule="auto"/>
        <w:ind w:firstLine="0"/>
        <w:jc w:val="both"/>
      </w:pPr>
      <w:r>
        <w:rPr>
          <w:rFonts w:ascii="Times New Roman" w:hAnsi="Times New Roman"/>
          <w:sz w:val="24"/>
        </w:rPr>
        <w:t>• Mitigation: StoreDot should prioritize transparency by providing detailed financial projections and performance metrics. Regular updates and open communication with investors can build trust and confidence in the company's financial management.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Based on the information provided, StoreDot's extreme fast charging battery technology seems to have a strong potential for mass adoption in the EV market. With a 3-5 years lead on alternative solutions and ongoing testing by OEMs, the company could be an attractive acquisition target for major players in the automotive industry looking to stay ahead of the competition. An IPO could also be a viable exit strategy, especially if StoreDot continues to demonstrate technological superiority and scalability. However, more information on the company's financials, market traction, and partnerships would be needed to assess the timing and feasibility of potential exits.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Request detailed thirdparty test results validating the 10minute charging claim and &gt;1200 cycle life under extreme fast charging conditions.</w:t>
      </w:r>
    </w:p>
    <w:p>
      <w:pPr>
        <w:spacing w:line="360" w:lineRule="auto"/>
        <w:ind w:firstLine="0"/>
        <w:jc w:val="both"/>
      </w:pPr>
      <w:r>
        <w:rPr>
          <w:rFonts w:ascii="Times New Roman" w:hAnsi="Times New Roman"/>
          <w:sz w:val="24"/>
        </w:rPr>
        <w:t>• Clarify the scope and geographic coverage of the 78 granted and 22 pending patents; assess potential IP risks or overlaps.</w:t>
      </w:r>
    </w:p>
    <w:p>
      <w:pPr>
        <w:spacing w:line="360" w:lineRule="auto"/>
        <w:ind w:firstLine="0"/>
        <w:jc w:val="both"/>
      </w:pPr>
      <w:r>
        <w:rPr>
          <w:rFonts w:ascii="Times New Roman" w:hAnsi="Times New Roman"/>
          <w:sz w:val="24"/>
        </w:rPr>
        <w:t>• Obtain data on battery safety, thermal management, and degradation mechanisms during XFC cycles.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Identify the &gt;15 OEMs and manufacturing partners currently testing the 100in5 cells; understand their level of commitment and timelines.</w:t>
      </w:r>
    </w:p>
    <w:p>
      <w:pPr>
        <w:spacing w:line="360" w:lineRule="auto"/>
        <w:ind w:firstLine="0"/>
        <w:jc w:val="both"/>
      </w:pPr>
      <w:r>
        <w:rPr>
          <w:rFonts w:ascii="Times New Roman" w:hAnsi="Times New Roman"/>
          <w:sz w:val="24"/>
        </w:rPr>
        <w:t>• Confirm any signed LOIs, MoUs, or contracts with OEMs for commercial supply starting 2025.</w:t>
      </w:r>
    </w:p>
    <w:p>
      <w:pPr>
        <w:spacing w:line="360" w:lineRule="auto"/>
        <w:ind w:firstLine="0"/>
        <w:jc w:val="both"/>
      </w:pPr>
      <w:r>
        <w:rPr>
          <w:rFonts w:ascii="Times New Roman" w:hAnsi="Times New Roman"/>
          <w:sz w:val="24"/>
        </w:rPr>
        <w:t>• Assess manufacturing scaleup plans, capacity, and potential bottlenecks in 20242025.</w:t>
      </w:r>
    </w:p>
    <w:p>
      <w:pPr>
        <w:spacing w:line="360" w:lineRule="auto"/>
        <w:ind w:firstLine="0"/>
        <w:jc w:val="both"/>
      </w:pPr>
      <w:r>
        <w:rPr>
          <w:rFonts w:ascii="Times New Roman" w:hAnsi="Times New Roman"/>
          <w:sz w:val="24"/>
        </w:rPr>
        <w:t>Technology Scalability &amp; Cost</w:t>
      </w:r>
    </w:p>
    <w:p>
      <w:pPr>
        <w:spacing w:line="360" w:lineRule="auto"/>
        <w:ind w:firstLine="0"/>
        <w:jc w:val="both"/>
      </w:pPr>
      <w:r>
        <w:rPr>
          <w:rFonts w:ascii="Times New Roman" w:hAnsi="Times New Roman"/>
          <w:sz w:val="24"/>
        </w:rPr>
        <w:t>• Request detailed cost model and comparison with incumbent Liion batteries and other emerging technologies.</w:t>
      </w:r>
    </w:p>
    <w:p>
      <w:pPr>
        <w:spacing w:line="360" w:lineRule="auto"/>
        <w:ind w:firstLine="0"/>
        <w:jc w:val="both"/>
      </w:pPr>
      <w:r>
        <w:rPr>
          <w:rFonts w:ascii="Times New Roman" w:hAnsi="Times New Roman"/>
          <w:sz w:val="24"/>
        </w:rPr>
        <w:t>• Confirm compatibility with existing Liion manufacturing lines and any required CAPEX investments for licensees.</w:t>
      </w:r>
    </w:p>
    <w:p>
      <w:pPr>
        <w:spacing w:line="360" w:lineRule="auto"/>
        <w:ind w:firstLine="0"/>
        <w:jc w:val="both"/>
      </w:pPr>
      <w:r>
        <w:rPr>
          <w:rFonts w:ascii="Times New Roman" w:hAnsi="Times New Roman"/>
          <w:sz w:val="24"/>
        </w:rPr>
        <w:t>• Understand supply chain dependencies, especially for silicon anode materials and semisolid state components.</w:t>
      </w:r>
    </w:p>
    <w:p>
      <w:pPr>
        <w:spacing w:line="360" w:lineRule="auto"/>
        <w:ind w:firstLine="0"/>
        <w:jc w:val="both"/>
      </w:pPr>
      <w:r>
        <w:rPr>
          <w:rFonts w:ascii="Times New Roman" w:hAnsi="Times New Roman"/>
          <w:sz w:val="24"/>
        </w:rPr>
        <w:t>Competitive Landscape &amp; Differentiation</w:t>
      </w:r>
    </w:p>
    <w:p>
      <w:pPr>
        <w:spacing w:line="360" w:lineRule="auto"/>
        <w:ind w:firstLine="0"/>
        <w:jc w:val="both"/>
      </w:pPr>
      <w:r>
        <w:rPr>
          <w:rFonts w:ascii="Times New Roman" w:hAnsi="Times New Roman"/>
          <w:sz w:val="24"/>
        </w:rPr>
        <w:t>• Clarify StoreDot’s competitive advantages vs. other fastcharging battery startups and incumbent battery makers.</w:t>
      </w:r>
    </w:p>
    <w:p>
      <w:pPr>
        <w:spacing w:line="360" w:lineRule="auto"/>
        <w:ind w:firstLine="0"/>
        <w:jc w:val="both"/>
      </w:pPr>
      <w:r>
        <w:rPr>
          <w:rFonts w:ascii="Times New Roman" w:hAnsi="Times New Roman"/>
          <w:sz w:val="24"/>
        </w:rPr>
        <w:t>• Assess risk of emerging technologies (solidstate, semisolid) catching up or leapfrogging StoreDot’s roadmap.</w:t>
      </w:r>
    </w:p>
    <w:p>
      <w:pPr>
        <w:spacing w:line="360" w:lineRule="auto"/>
        <w:ind w:firstLine="0"/>
        <w:jc w:val="both"/>
      </w:pPr>
      <w:r>
        <w:rPr>
          <w:rFonts w:ascii="Times New Roman" w:hAnsi="Times New Roman"/>
          <w:sz w:val="24"/>
        </w:rPr>
        <w:t>• Request market share projections and gotomarket strategy for 20252030.</w:t>
      </w:r>
    </w:p>
    <w:p>
      <w:pPr>
        <w:spacing w:line="360" w:lineRule="auto"/>
        <w:ind w:firstLine="0"/>
        <w:jc w:val="both"/>
      </w:pPr>
      <w:r>
        <w:rPr>
          <w:rFonts w:ascii="Times New Roman" w:hAnsi="Times New Roman"/>
          <w:sz w:val="24"/>
        </w:rPr>
        <w:t>Regulatory &amp; Certification</w:t>
      </w:r>
    </w:p>
    <w:p>
      <w:pPr>
        <w:spacing w:line="360" w:lineRule="auto"/>
        <w:ind w:firstLine="0"/>
        <w:jc w:val="both"/>
      </w:pPr>
      <w:r>
        <w:rPr>
          <w:rFonts w:ascii="Times New Roman" w:hAnsi="Times New Roman"/>
          <w:sz w:val="24"/>
        </w:rPr>
        <w:t>• Confirm progress on regulatory approvals, safety certifications, and compliance with automotive standards globally.</w:t>
      </w:r>
    </w:p>
    <w:p>
      <w:pPr>
        <w:spacing w:line="360" w:lineRule="auto"/>
        <w:ind w:firstLine="0"/>
        <w:jc w:val="both"/>
      </w:pPr>
      <w:r>
        <w:rPr>
          <w:rFonts w:ascii="Times New Roman" w:hAnsi="Times New Roman"/>
          <w:sz w:val="24"/>
        </w:rPr>
        <w:t>• Understand any potential hurdles related to cobalt content reduction and sustainability claims.</w:t>
      </w:r>
    </w:p>
    <w:p>
      <w:pPr>
        <w:spacing w:line="360" w:lineRule="auto"/>
        <w:ind w:firstLine="0"/>
        <w:jc w:val="both"/>
      </w:pPr>
      <w:r>
        <w:rPr>
          <w:rFonts w:ascii="Times New Roman" w:hAnsi="Times New Roman"/>
          <w:sz w:val="24"/>
        </w:rPr>
        <w:t>Financials &amp; Funding</w:t>
      </w:r>
    </w:p>
    <w:p>
      <w:pPr>
        <w:spacing w:line="360" w:lineRule="auto"/>
        <w:ind w:firstLine="0"/>
        <w:jc w:val="both"/>
      </w:pPr>
      <w:r>
        <w:rPr>
          <w:rFonts w:ascii="Times New Roman" w:hAnsi="Times New Roman"/>
          <w:sz w:val="24"/>
        </w:rPr>
        <w:t>• Request current financials, burn rate, and funding runway.</w:t>
      </w:r>
    </w:p>
    <w:p>
      <w:pPr>
        <w:spacing w:line="360" w:lineRule="auto"/>
        <w:ind w:firstLine="0"/>
        <w:jc w:val="both"/>
      </w:pPr>
      <w:r>
        <w:rPr>
          <w:rFonts w:ascii="Times New Roman" w:hAnsi="Times New Roman"/>
          <w:sz w:val="24"/>
        </w:rPr>
        <w:t>• Clarify planned use of proceeds from this funding round and expected milestones.</w:t>
      </w:r>
    </w:p>
    <w:p>
      <w:pPr>
        <w:spacing w:line="360" w:lineRule="auto"/>
        <w:ind w:firstLine="0"/>
        <w:jc w:val="both"/>
      </w:pPr>
      <w:r>
        <w:rPr>
          <w:rFonts w:ascii="Times New Roman" w:hAnsi="Times New Roman"/>
          <w:sz w:val="24"/>
        </w:rPr>
        <w:t>Team &amp; Execution Risk</w:t>
      </w:r>
    </w:p>
    <w:p>
      <w:pPr>
        <w:spacing w:line="360" w:lineRule="auto"/>
        <w:ind w:firstLine="0"/>
        <w:jc w:val="both"/>
      </w:pPr>
      <w:r>
        <w:rPr>
          <w:rFonts w:ascii="Times New Roman" w:hAnsi="Times New Roman"/>
          <w:sz w:val="24"/>
        </w:rPr>
        <w:t>• Deep dive on team’s track record in battery commercialization and scaling manufacturing.</w:t>
      </w:r>
    </w:p>
    <w:p>
      <w:pPr>
        <w:spacing w:line="360" w:lineRule="auto"/>
        <w:ind w:firstLine="0"/>
        <w:jc w:val="both"/>
      </w:pPr>
      <w:r>
        <w:rPr>
          <w:rFonts w:ascii="Times New Roman" w:hAnsi="Times New Roman"/>
          <w:sz w:val="24"/>
        </w:rPr>
        <w:t>• Assess organizational readiness for rapid scaleup and potential gaps.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technical deep dive with CTO and R&amp;D leads.</w:t>
      </w:r>
    </w:p>
    <w:p>
      <w:pPr>
        <w:spacing w:line="360" w:lineRule="auto"/>
        <w:ind w:firstLine="0"/>
        <w:jc w:val="both"/>
      </w:pPr>
      <w:r>
        <w:rPr>
          <w:rFonts w:ascii="Times New Roman" w:hAnsi="Times New Roman"/>
          <w:sz w:val="24"/>
        </w:rPr>
        <w:t>• Conduct reference checks with OEM partners and industry experts on StoreDot’s technology and execution.</w:t>
      </w:r>
    </w:p>
    <w:p>
      <w:pPr>
        <w:spacing w:line="360" w:lineRule="auto"/>
        <w:ind w:firstLine="0"/>
        <w:jc w:val="both"/>
      </w:pPr>
      <w:r>
        <w:rPr>
          <w:rFonts w:ascii="Times New Roman" w:hAnsi="Times New Roman"/>
          <w:sz w:val="24"/>
        </w:rPr>
        <w:t>• Engage independent battery technology consultants for validation.</w:t>
      </w:r>
    </w:p>
    <w:p>
      <w:pPr>
        <w:spacing w:line="360" w:lineRule="auto"/>
        <w:ind w:firstLine="0"/>
        <w:jc w:val="both"/>
      </w:pPr>
      <w:r>
        <w:rPr>
          <w:rFonts w:ascii="Times New Roman" w:hAnsi="Times New Roman"/>
          <w:sz w:val="24"/>
        </w:rPr>
        <w:t>• Review detailed financial model and funding plan.</w:t>
      </w:r>
    </w:p>
    <w:p>
      <w:pPr>
        <w:spacing w:line="360" w:lineRule="auto"/>
        <w:ind w:firstLine="0"/>
        <w:jc w:val="both"/>
      </w:pPr>
      <w:r>
        <w:rPr>
          <w:rFonts w:ascii="Times New Roman" w:hAnsi="Times New Roman"/>
          <w:sz w:val="24"/>
        </w:rPr>
        <w:t>• No followup questions if all above are addressed satisfactorily.</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DISCUSSION &amp; ANALYST COMMENTARY</w:t>
      </w:r>
    </w:p>
    <w:p>
      <w:pPr>
        <w:spacing w:before="240" w:line="360" w:lineRule="auto" w:after="120"/>
        <w:ind w:firstLine="0"/>
        <w:jc w:val="both"/>
      </w:pPr>
      <w:r>
        <w:rPr>
          <w:rFonts w:ascii="Times New Roman" w:hAnsi="Times New Roman"/>
          <w:b/>
          <w:sz w:val="24"/>
        </w:rPr>
        <w:t>Analyst Commentary on StoreDot Investment Memo</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1. Technological Differentiation</w:t>
      </w:r>
    </w:p>
    <w:p>
      <w:pPr>
        <w:spacing w:line="360" w:lineRule="auto"/>
        <w:ind w:firstLine="0"/>
        <w:jc w:val="both"/>
      </w:pPr>
      <w:r>
        <w:rPr>
          <w:rFonts w:ascii="Times New Roman" w:hAnsi="Times New Roman"/>
          <w:sz w:val="24"/>
        </w:rPr>
        <w:t>StoreDot’s silicon-dominant anode lithium-ion battery enabling 100 miles of range in 5-10 minutes charging is a compelling breakthrough addressing a critical EV adoption barrier—charging speed. This positions StoreDot uniquely against competitors focused on solid-state or incremental improvements.</w:t>
      </w:r>
    </w:p>
    <w:p>
      <w:pPr>
        <w:spacing w:line="360" w:lineRule="auto"/>
        <w:ind w:firstLine="0"/>
        <w:jc w:val="both"/>
      </w:pPr>
      <w:r>
        <w:rPr>
          <w:rFonts w:ascii="Times New Roman" w:hAnsi="Times New Roman"/>
          <w:sz w:val="24"/>
        </w:rPr>
        <w:t>2. Manufacturing Compatibility &amp; Scalability</w:t>
      </w:r>
    </w:p>
    <w:p>
      <w:pPr>
        <w:spacing w:line="360" w:lineRule="auto"/>
        <w:ind w:firstLine="0"/>
        <w:jc w:val="both"/>
      </w:pPr>
      <w:r>
        <w:rPr>
          <w:rFonts w:ascii="Times New Roman" w:hAnsi="Times New Roman"/>
          <w:sz w:val="24"/>
        </w:rPr>
        <w:t>Compatibility with existing lithium-ion manufacturing lines reduces capital expenditure and accelerates adoption by OEMs and battery manufacturers. This pragmatic approach mitigates a common commercialization bottleneck faced by deep-tech battery startups.</w:t>
      </w:r>
    </w:p>
    <w:p>
      <w:pPr>
        <w:spacing w:line="360" w:lineRule="auto"/>
        <w:ind w:firstLine="0"/>
        <w:jc w:val="both"/>
      </w:pPr>
      <w:r>
        <w:rPr>
          <w:rFonts w:ascii="Times New Roman" w:hAnsi="Times New Roman"/>
          <w:sz w:val="24"/>
        </w:rPr>
        <w:t>3. Strong Industry Partnerships &amp; IP Portfolio</w:t>
      </w:r>
    </w:p>
    <w:p>
      <w:pPr>
        <w:spacing w:line="360" w:lineRule="auto"/>
        <w:ind w:firstLine="0"/>
        <w:jc w:val="both"/>
      </w:pPr>
      <w:r>
        <w:rPr>
          <w:rFonts w:ascii="Times New Roman" w:hAnsi="Times New Roman"/>
          <w:sz w:val="24"/>
        </w:rPr>
        <w:t>Engagement with over 15 OEMs and a robust patent portfolio (78 granted US patents) validate both the technology’s potential and StoreDot’s strategic positioning. The leadership team’s deep automotive and tech experience further strengthens execution credibility.</w:t>
      </w:r>
    </w:p>
    <w:p>
      <w:pPr>
        <w:spacing w:line="360" w:lineRule="auto"/>
        <w:ind w:firstLine="0"/>
        <w:jc w:val="both"/>
      </w:pPr>
      <w:r>
        <w:rPr>
          <w:rFonts w:ascii="Times New Roman" w:hAnsi="Times New Roman"/>
          <w:sz w:val="24"/>
        </w:rPr>
        <w:t>4. Clear Commercial Timeline</w:t>
      </w:r>
    </w:p>
    <w:p>
      <w:pPr>
        <w:spacing w:line="360" w:lineRule="auto"/>
        <w:ind w:firstLine="0"/>
        <w:jc w:val="both"/>
      </w:pPr>
      <w:r>
        <w:rPr>
          <w:rFonts w:ascii="Times New Roman" w:hAnsi="Times New Roman"/>
          <w:sz w:val="24"/>
        </w:rPr>
        <w:t>Targeting commercial readiness by 2025 provides a tangible near-term milestone, which is critical for investor confidence in a sector often plagued by long development cycles.</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1. Lack of Detailed Technical &amp; Performance Data</w:t>
      </w:r>
    </w:p>
    <w:p>
      <w:pPr>
        <w:spacing w:line="360" w:lineRule="auto"/>
        <w:ind w:firstLine="0"/>
        <w:jc w:val="both"/>
      </w:pPr>
      <w:r>
        <w:rPr>
          <w:rFonts w:ascii="Times New Roman" w:hAnsi="Times New Roman"/>
          <w:sz w:val="24"/>
        </w:rPr>
        <w:t>The memo lacks granular data on cycle life under real-world conditions, energy density, thermal management, degradation rates, and safety certifications. Without independent third-party validation, the 5-minute charging claim remains unverified.</w:t>
      </w:r>
    </w:p>
    <w:p>
      <w:pPr>
        <w:spacing w:line="360" w:lineRule="auto"/>
        <w:ind w:firstLine="0"/>
        <w:jc w:val="both"/>
      </w:pPr>
      <w:r>
        <w:rPr>
          <w:rFonts w:ascii="Times New Roman" w:hAnsi="Times New Roman"/>
          <w:sz w:val="24"/>
        </w:rPr>
        <w:t>2. Opaque Financials and Funding Status</w:t>
      </w:r>
    </w:p>
    <w:p>
      <w:pPr>
        <w:spacing w:line="360" w:lineRule="auto"/>
        <w:ind w:firstLine="0"/>
        <w:jc w:val="both"/>
      </w:pPr>
      <w:r>
        <w:rPr>
          <w:rFonts w:ascii="Times New Roman" w:hAnsi="Times New Roman"/>
          <w:sz w:val="24"/>
        </w:rPr>
        <w:t>Absence of disclosed financials, burn rate, runway, and funding history creates significant due diligence gaps. Investors cannot assess capital efficiency, valuation, or funding sufficiency for scaling.</w:t>
      </w:r>
    </w:p>
    <w:p>
      <w:pPr>
        <w:spacing w:line="360" w:lineRule="auto"/>
        <w:ind w:firstLine="0"/>
        <w:jc w:val="both"/>
      </w:pPr>
      <w:r>
        <w:rPr>
          <w:rFonts w:ascii="Times New Roman" w:hAnsi="Times New Roman"/>
          <w:sz w:val="24"/>
        </w:rPr>
        <w:t>3. Limited Market Segmentation and Go-to-Market Clarity</w:t>
      </w:r>
    </w:p>
    <w:p>
      <w:pPr>
        <w:spacing w:line="360" w:lineRule="auto"/>
        <w:ind w:firstLine="0"/>
        <w:jc w:val="both"/>
      </w:pPr>
      <w:r>
        <w:rPr>
          <w:rFonts w:ascii="Times New Roman" w:hAnsi="Times New Roman"/>
          <w:sz w:val="24"/>
        </w:rPr>
        <w:t>The memo provides TAM but no Serviceable Available Market (SAM) or Serviceable Obtainable Market (SOM) estimates, nor detailed customer segmentation or pricing strategy. This limits confidence in revenue projections and market penetration assumptions.</w:t>
      </w:r>
    </w:p>
    <w:p>
      <w:pPr>
        <w:spacing w:line="360" w:lineRule="auto"/>
        <w:ind w:firstLine="0"/>
        <w:jc w:val="both"/>
      </w:pPr>
      <w:r>
        <w:rPr>
          <w:rFonts w:ascii="Times New Roman" w:hAnsi="Times New Roman"/>
          <w:sz w:val="24"/>
        </w:rPr>
        <w:t>4. No Open Innovation or Ecosystem Engagement</w:t>
      </w:r>
    </w:p>
    <w:p>
      <w:pPr>
        <w:spacing w:line="360" w:lineRule="auto"/>
        <w:ind w:firstLine="0"/>
        <w:jc w:val="both"/>
      </w:pPr>
      <w:r>
        <w:rPr>
          <w:rFonts w:ascii="Times New Roman" w:hAnsi="Times New Roman"/>
          <w:sz w:val="24"/>
        </w:rPr>
        <w:t>Lack of open-source initiatives or community collaboration may slow innovation velocity and limit ecosystem development, especially in a rapidly evolving tech domain.</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1. Mass EV Adoption Tailwinds</w:t>
      </w:r>
    </w:p>
    <w:p>
      <w:pPr>
        <w:spacing w:line="360" w:lineRule="auto"/>
        <w:ind w:firstLine="0"/>
        <w:jc w:val="both"/>
      </w:pPr>
      <w:r>
        <w:rPr>
          <w:rFonts w:ascii="Times New Roman" w:hAnsi="Times New Roman"/>
          <w:sz w:val="24"/>
        </w:rPr>
        <w:t>The global push for decarbonization and EV adoption, coupled with infrastructure challenges, creates a growing demand for fast-charging solutions. StoreDot’s technology directly addresses a major pain point, potentially enabling accelerated EV market growth.</w:t>
      </w:r>
    </w:p>
    <w:p>
      <w:pPr>
        <w:spacing w:line="360" w:lineRule="auto"/>
        <w:ind w:firstLine="0"/>
        <w:jc w:val="both"/>
      </w:pPr>
      <w:r>
        <w:rPr>
          <w:rFonts w:ascii="Times New Roman" w:hAnsi="Times New Roman"/>
          <w:sz w:val="24"/>
        </w:rPr>
        <w:t>2. Licensing Model Scalability</w:t>
      </w:r>
    </w:p>
    <w:p>
      <w:pPr>
        <w:spacing w:line="360" w:lineRule="auto"/>
        <w:ind w:firstLine="0"/>
        <w:jc w:val="both"/>
      </w:pPr>
      <w:r>
        <w:rPr>
          <w:rFonts w:ascii="Times New Roman" w:hAnsi="Times New Roman"/>
          <w:sz w:val="24"/>
        </w:rPr>
        <w:t>Licensing to OEMs and manufacturers can generate high-margin, recurring revenue streams with limited capital intensity, enabling rapid scaling and global reach.</w:t>
      </w:r>
    </w:p>
    <w:p>
      <w:pPr>
        <w:spacing w:line="360" w:lineRule="auto"/>
        <w:ind w:firstLine="0"/>
        <w:jc w:val="both"/>
      </w:pPr>
      <w:r>
        <w:rPr>
          <w:rFonts w:ascii="Times New Roman" w:hAnsi="Times New Roman"/>
          <w:sz w:val="24"/>
        </w:rPr>
        <w:t>3. Potential for Strategic Acquisitions or IPO</w:t>
      </w:r>
    </w:p>
    <w:p>
      <w:pPr>
        <w:spacing w:line="360" w:lineRule="auto"/>
        <w:ind w:firstLine="0"/>
        <w:jc w:val="both"/>
      </w:pPr>
      <w:r>
        <w:rPr>
          <w:rFonts w:ascii="Times New Roman" w:hAnsi="Times New Roman"/>
          <w:sz w:val="24"/>
        </w:rPr>
        <w:t>With a 3-5 year lead on competitors and strong OEM interest, StoreDot could become an attractive acquisition target for automotive giants or battery manufacturers seeking to leapfrog technology. An IPO is also plausible if technical and commercial milestones are met.</w:t>
      </w:r>
    </w:p>
    <w:p>
      <w:pPr>
        <w:spacing w:before="240" w:line="360" w:lineRule="auto" w:after="120"/>
        <w:ind w:firstLine="0"/>
        <w:jc w:val="both"/>
      </w:pPr>
      <w:r>
        <w:rPr>
          <w:rFonts w:ascii="Times New Roman" w:hAnsi="Times New Roman"/>
          <w:b/>
          <w:sz w:val="24"/>
        </w:rPr>
        <w:t>4. AI/ML Integration for Optimization</w:t>
      </w:r>
    </w:p>
    <w:p>
      <w:pPr>
        <w:spacing w:line="360" w:lineRule="auto"/>
        <w:ind w:firstLine="0"/>
        <w:jc w:val="both"/>
      </w:pPr>
      <w:r>
        <w:rPr>
          <w:rFonts w:ascii="Times New Roman" w:hAnsi="Times New Roman"/>
          <w:sz w:val="24"/>
        </w:rPr>
        <w:t>Leveraging AI and machine learning tools for battery optimization could yield continuous performance improvements and cost reductions, enhancing competitive advantage.</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1. Technical Feasibility &amp; Scalability</w:t>
      </w:r>
    </w:p>
    <w:p>
      <w:pPr>
        <w:spacing w:line="360" w:lineRule="auto"/>
        <w:ind w:firstLine="0"/>
        <w:jc w:val="both"/>
      </w:pPr>
      <w:r>
        <w:rPr>
          <w:rFonts w:ascii="Times New Roman" w:hAnsi="Times New Roman"/>
          <w:sz w:val="24"/>
        </w:rPr>
        <w:t>Achieving consistent performance, safety, and longevity at scale remains a significant challenge. Silicon anodes historically suffer from volume expansion and cycle degradation, which must be convincingly mitigated.</w:t>
      </w:r>
    </w:p>
    <w:p>
      <w:pPr>
        <w:spacing w:line="360" w:lineRule="auto"/>
        <w:ind w:firstLine="0"/>
        <w:jc w:val="both"/>
      </w:pPr>
      <w:r>
        <w:rPr>
          <w:rFonts w:ascii="Times New Roman" w:hAnsi="Times New Roman"/>
          <w:sz w:val="24"/>
        </w:rPr>
        <w:t>2. Competitive Threats</w:t>
      </w:r>
    </w:p>
    <w:p>
      <w:pPr>
        <w:spacing w:line="360" w:lineRule="auto"/>
        <w:ind w:firstLine="0"/>
        <w:jc w:val="both"/>
      </w:pPr>
      <w:r>
        <w:rPr>
          <w:rFonts w:ascii="Times New Roman" w:hAnsi="Times New Roman"/>
          <w:sz w:val="24"/>
        </w:rPr>
        <w:t>Emerging solid-state batteries and other silicon anode startups (e.g., QuantumScape, Sila Nanotechnologies) could leapfrog StoreDot’s technology or capture OEM mindshare, especially if they demonstrate superior energy density or cost advantages.</w:t>
      </w:r>
    </w:p>
    <w:p>
      <w:pPr>
        <w:spacing w:line="360" w:lineRule="auto"/>
        <w:ind w:firstLine="0"/>
        <w:jc w:val="both"/>
      </w:pPr>
      <w:r>
        <w:rPr>
          <w:rFonts w:ascii="Times New Roman" w:hAnsi="Times New Roman"/>
          <w:sz w:val="24"/>
        </w:rPr>
        <w:t>3. Regulatory &amp; Certification Hurdles</w:t>
      </w:r>
    </w:p>
    <w:p>
      <w:pPr>
        <w:spacing w:line="360" w:lineRule="auto"/>
        <w:ind w:firstLine="0"/>
        <w:jc w:val="both"/>
      </w:pPr>
      <w:r>
        <w:rPr>
          <w:rFonts w:ascii="Times New Roman" w:hAnsi="Times New Roman"/>
          <w:sz w:val="24"/>
        </w:rPr>
        <w:t>Battery safety and environmental compliance are stringent and evolving. Delays or failures in certification could postpone commercialization and damage reputation.</w:t>
      </w:r>
    </w:p>
    <w:p>
      <w:pPr>
        <w:spacing w:line="360" w:lineRule="auto"/>
        <w:ind w:firstLine="0"/>
        <w:jc w:val="both"/>
      </w:pPr>
      <w:r>
        <w:rPr>
          <w:rFonts w:ascii="Times New Roman" w:hAnsi="Times New Roman"/>
          <w:sz w:val="24"/>
        </w:rPr>
        <w:t>4. Market Adoption Uncertainty</w:t>
      </w:r>
    </w:p>
    <w:p>
      <w:pPr>
        <w:spacing w:line="360" w:lineRule="auto"/>
        <w:ind w:firstLine="0"/>
        <w:jc w:val="both"/>
      </w:pPr>
      <w:r>
        <w:rPr>
          <w:rFonts w:ascii="Times New Roman" w:hAnsi="Times New Roman"/>
          <w:sz w:val="24"/>
        </w:rPr>
        <w:t>OEMs may be cautious in adopting new battery chemistries without extensive validation, especially given the high stakes of EV safety and reliability.</w:t>
      </w:r>
    </w:p>
    <w:p>
      <w:pPr>
        <w:spacing w:line="360" w:lineRule="auto"/>
        <w:ind w:firstLine="0"/>
        <w:jc w:val="both"/>
      </w:pPr>
      <w:r>
        <w:rPr>
          <w:rFonts w:ascii="Times New Roman" w:hAnsi="Times New Roman"/>
          <w:sz w:val="24"/>
        </w:rPr>
        <w:t>5. Financial Transparency &amp; Execution Risk</w:t>
      </w:r>
    </w:p>
    <w:p>
      <w:pPr>
        <w:spacing w:line="360" w:lineRule="auto"/>
        <w:ind w:firstLine="0"/>
        <w:jc w:val="both"/>
      </w:pPr>
      <w:r>
        <w:rPr>
          <w:rFonts w:ascii="Times New Roman" w:hAnsi="Times New Roman"/>
          <w:sz w:val="24"/>
        </w:rPr>
        <w:t>Lack of financial disclosure and unclear operational readiness for scale-up increase investor risk. Execution failures in manufacturing scale or partnership management could delay revenue generation.</w:t>
      </w:r>
    </w:p>
    <w:p>
      <w:pPr>
        <w:spacing w:before="240" w:line="360" w:lineRule="auto" w:after="120"/>
        <w:ind w:firstLine="0"/>
        <w:jc w:val="both"/>
      </w:pPr>
      <w:r>
        <w:rPr>
          <w:rFonts w:ascii="Times New Roman" w:hAnsi="Times New Roman"/>
          <w:b/>
          <w:sz w:val="24"/>
        </w:rPr>
        <w:t>Actionable Recommendations for Investors</w:t>
      </w:r>
    </w:p>
    <w:p>
      <w:pPr>
        <w:spacing w:line="360" w:lineRule="auto"/>
        <w:ind w:firstLine="0"/>
        <w:jc w:val="both"/>
      </w:pPr>
      <w:r>
        <w:rPr>
          <w:rFonts w:ascii="Times New Roman" w:hAnsi="Times New Roman"/>
          <w:sz w:val="24"/>
        </w:rPr>
        <w:t>1. Demand Rigorous Third-Party Validation</w:t>
      </w:r>
    </w:p>
    <w:p>
      <w:pPr>
        <w:spacing w:line="360" w:lineRule="auto"/>
        <w:ind w:firstLine="0"/>
        <w:jc w:val="both"/>
      </w:pPr>
      <w:r>
        <w:rPr>
          <w:rFonts w:ascii="Times New Roman" w:hAnsi="Times New Roman"/>
          <w:sz w:val="24"/>
        </w:rPr>
        <w:t>Prioritize obtaining independent test data on charging speed, cycle life (&gt;1200 cycles), safety, and thermal management under real-world conditions before committing capital.</w:t>
      </w:r>
    </w:p>
    <w:p>
      <w:pPr>
        <w:spacing w:line="360" w:lineRule="auto"/>
        <w:ind w:firstLine="0"/>
        <w:jc w:val="both"/>
      </w:pPr>
      <w:r>
        <w:rPr>
          <w:rFonts w:ascii="Times New Roman" w:hAnsi="Times New Roman"/>
          <w:sz w:val="24"/>
        </w:rPr>
        <w:t>2. Request Detailed Financials &amp; Funding Plans</w:t>
      </w:r>
    </w:p>
    <w:p>
      <w:pPr>
        <w:spacing w:line="360" w:lineRule="auto"/>
        <w:ind w:firstLine="0"/>
        <w:jc w:val="both"/>
      </w:pPr>
      <w:r>
        <w:rPr>
          <w:rFonts w:ascii="Times New Roman" w:hAnsi="Times New Roman"/>
          <w:sz w:val="24"/>
        </w:rPr>
        <w:t>Insist on transparency regarding current financial health, burn rate, runway, and planned use of proceeds. Evaluate capital requirements for scaling and commercialization.</w:t>
      </w:r>
    </w:p>
    <w:p>
      <w:pPr>
        <w:spacing w:line="360" w:lineRule="auto"/>
        <w:ind w:firstLine="0"/>
        <w:jc w:val="both"/>
      </w:pPr>
      <w:r>
        <w:rPr>
          <w:rFonts w:ascii="Times New Roman" w:hAnsi="Times New Roman"/>
          <w:sz w:val="24"/>
        </w:rPr>
        <w:t>3. Conduct OEM Partnership Due Diligence</w:t>
      </w:r>
    </w:p>
    <w:p>
      <w:pPr>
        <w:spacing w:line="360" w:lineRule="auto"/>
        <w:ind w:firstLine="0"/>
        <w:jc w:val="both"/>
      </w:pPr>
      <w:r>
        <w:rPr>
          <w:rFonts w:ascii="Times New Roman" w:hAnsi="Times New Roman"/>
          <w:sz w:val="24"/>
        </w:rPr>
        <w:t>Verify the nature and depth of OEM engagements—signed contracts, LOIs, or MoUs—and assess their timelines and commitment levels to gauge commercial traction.</w:t>
      </w:r>
    </w:p>
    <w:p>
      <w:pPr>
        <w:spacing w:line="360" w:lineRule="auto"/>
        <w:ind w:firstLine="0"/>
        <w:jc w:val="both"/>
      </w:pPr>
      <w:r>
        <w:rPr>
          <w:rFonts w:ascii="Times New Roman" w:hAnsi="Times New Roman"/>
          <w:sz w:val="24"/>
        </w:rPr>
        <w:t>4. Assess Competitive Positioning Continuously</w:t>
      </w:r>
    </w:p>
    <w:p>
      <w:pPr>
        <w:spacing w:line="360" w:lineRule="auto"/>
        <w:ind w:firstLine="0"/>
        <w:jc w:val="both"/>
      </w:pPr>
      <w:r>
        <w:rPr>
          <w:rFonts w:ascii="Times New Roman" w:hAnsi="Times New Roman"/>
          <w:sz w:val="24"/>
        </w:rPr>
        <w:t>Monitor advancements by solid-state and silicon anode competitors. Evaluate StoreDot’s roadmap flexibility to pivot or integrate emerging technologies.</w:t>
      </w:r>
    </w:p>
    <w:p>
      <w:pPr>
        <w:spacing w:line="360" w:lineRule="auto"/>
        <w:ind w:firstLine="0"/>
        <w:jc w:val="both"/>
      </w:pPr>
      <w:r>
        <w:rPr>
          <w:rFonts w:ascii="Times New Roman" w:hAnsi="Times New Roman"/>
          <w:sz w:val="24"/>
        </w:rPr>
        <w:t>5. Evaluate Regulatory &amp; ESG Compliance</w:t>
      </w:r>
    </w:p>
    <w:p>
      <w:pPr>
        <w:spacing w:line="360" w:lineRule="auto"/>
        <w:ind w:firstLine="0"/>
        <w:jc w:val="both"/>
      </w:pPr>
      <w:r>
        <w:rPr>
          <w:rFonts w:ascii="Times New Roman" w:hAnsi="Times New Roman"/>
          <w:sz w:val="24"/>
        </w:rPr>
        <w:t>Confirm progress on certifications and sustainability claims, especially cobalt reduction and supply chain ethics, to mitigate regulatory and reputational risks.</w:t>
      </w:r>
    </w:p>
    <w:p>
      <w:pPr>
        <w:spacing w:line="360" w:lineRule="auto"/>
        <w:ind w:firstLine="0"/>
        <w:jc w:val="both"/>
      </w:pPr>
      <w:r>
        <w:rPr>
          <w:rFonts w:ascii="Times New Roman" w:hAnsi="Times New Roman"/>
          <w:sz w:val="24"/>
        </w:rPr>
        <w:t>6. Engage Technical Experts for Deep Dive</w:t>
      </w:r>
    </w:p>
    <w:p>
      <w:pPr>
        <w:spacing w:line="360" w:lineRule="auto"/>
        <w:ind w:firstLine="0"/>
        <w:jc w:val="both"/>
      </w:pPr>
      <w:r>
        <w:rPr>
          <w:rFonts w:ascii="Times New Roman" w:hAnsi="Times New Roman"/>
          <w:sz w:val="24"/>
        </w:rPr>
        <w:t>Utilize independent battery technology consultants to validate StoreDot’s claims and assess scalability and manufacturing integration risks.</w:t>
      </w:r>
    </w:p>
    <w:p>
      <w:pPr>
        <w:spacing w:line="360" w:lineRule="auto"/>
        <w:ind w:firstLine="0"/>
        <w:jc w:val="both"/>
      </w:pPr>
      <w:r>
        <w:rPr>
          <w:rFonts w:ascii="Times New Roman" w:hAnsi="Times New Roman"/>
          <w:sz w:val="24"/>
        </w:rPr>
        <w:t>7. Consider Staged Investment with Milestone Triggers</w:t>
      </w:r>
    </w:p>
    <w:p>
      <w:pPr>
        <w:spacing w:line="360" w:lineRule="auto"/>
        <w:ind w:firstLine="0"/>
        <w:jc w:val="both"/>
      </w:pPr>
      <w:r>
        <w:rPr>
          <w:rFonts w:ascii="Times New Roman" w:hAnsi="Times New Roman"/>
          <w:sz w:val="24"/>
        </w:rPr>
        <w:t>Structure funding rounds linked to technical validation, OEM contract signings, and pilot production milestones to mitigate execution risk.</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deep-tech opportunity with a differentiated fast-charging battery technology that could significantly impact EV adoption. Its compatibility with existing manufacturing infrastructure and strong OEM partnerships are notable strengths. However, critical gaps in technical validation, financial transparency, and market clarity warrant cautious, data-driven investment. Investors should seek comprehensive due diligence and consider phased capital deployment aligned with demonstrable milestones to balance upside potential against inherent deep-tech risks.</w:t>
      </w:r>
    </w:p>
    <w:p>
      <w:pPr>
        <w:spacing w:line="360" w:lineRule="auto"/>
        <w:ind w:firstLine="0"/>
        <w:jc w:val="both"/>
      </w:pPr>
      <w:r>
        <w:rPr>
          <w:rFonts w:ascii="Times New Roman" w:hAnsi="Times New Roman"/>
          <w:sz w:val="24"/>
        </w:rPr>
        <w:t>Generated by VC Analysis System on July 20,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47</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54</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26</cp:revision>
  <cp:lastPrinted>2012-08-22T12:07:00Z</cp:lastPrinted>
  <dcterms:created xsi:type="dcterms:W3CDTF">2025-07-11T11:27:00Z</dcterms:created>
  <dcterms:modified xsi:type="dcterms:W3CDTF">2025-07-14T13:08:00Z</dcterms:modified>
</cp:coreProperties>
</file>