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323EC" w14:textId="77777777" w:rsidR="001A3A2E" w:rsidRDefault="001A3A2E" w:rsidP="00703322">
      <w:pPr>
        <w:spacing w:after="160" w:line="259" w:lineRule="auto"/>
        <w:rPr>
          <w:lang w:val="en-US"/>
        </w:rPr>
      </w:pPr>
    </w:p>
    <w:p w14:paraId="1B751821" w14:textId="77777777" w:rsidR="001A3A2E" w:rsidRDefault="001A3A2E" w:rsidP="001A3A2E">
      <w:pPr>
        <w:spacing w:after="160" w:line="259" w:lineRule="auto"/>
        <w:jc w:val="center"/>
        <w:rPr>
          <w:lang w:val="en-US"/>
        </w:rPr>
      </w:pPr>
    </w:p>
    <w:p w14:paraId="7B98CE46" w14:textId="77777777" w:rsidR="001A3A2E" w:rsidRDefault="001A3A2E" w:rsidP="00703322">
      <w:pPr>
        <w:spacing w:after="160" w:line="259" w:lineRule="auto"/>
        <w:rPr>
          <w:lang w:val="en-US"/>
        </w:rPr>
      </w:pPr>
    </w:p>
    <w:p w14:paraId="50293DBD" w14:textId="77777777" w:rsidR="001A3A2E" w:rsidRDefault="001A3A2E" w:rsidP="00830FE5">
      <w:pPr>
        <w:spacing w:after="160" w:line="259" w:lineRule="auto"/>
        <w:rPr>
          <w:lang w:val="en-US"/>
        </w:rPr>
      </w:pPr>
    </w:p>
    <w:p w14:paraId="7A63088A" w14:textId="77777777" w:rsidR="001A3A2E" w:rsidRDefault="001A3A2E" w:rsidP="001A3A2E">
      <w:pPr>
        <w:spacing w:after="160" w:line="259" w:lineRule="auto"/>
        <w:jc w:val="center"/>
        <w:rPr>
          <w:lang w:val="en-US"/>
        </w:rPr>
      </w:pPr>
    </w:p>
    <w:p w14:paraId="1DF7B2BD" w14:textId="20CC3704" w:rsidR="00703322" w:rsidRPr="00FE612B" w:rsidRDefault="001A3A2E" w:rsidP="00FE612B">
      <w:pPr>
        <w:spacing w:after="160" w:line="259" w:lineRule="auto"/>
        <w:jc w:val="center"/>
        <w:rPr>
          <w:lang w:val="en-US"/>
        </w:rPr>
      </w:pPr>
      <w:r>
        <w:rPr>
          <w:noProof/>
          <w:lang w:val="en-US"/>
        </w:rPr>
        <w:drawing>
          <wp:inline distT="0" distB="0" distL="0" distR="0" wp14:anchorId="68A91648" wp14:editId="6CFB4186">
            <wp:extent cx="2806224" cy="2244979"/>
            <wp:effectExtent l="0" t="0" r="635" b="3175"/>
            <wp:docPr id="13860246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024639" name="Picture 1386024639"/>
                    <pic:cNvPicPr/>
                  </pic:nvPicPr>
                  <pic:blipFill>
                    <a:blip r:embed="rId8">
                      <a:extLst>
                        <a:ext uri="{28A0092B-C50C-407E-A947-70E740481C1C}">
                          <a14:useLocalDpi xmlns:a14="http://schemas.microsoft.com/office/drawing/2010/main" val="0"/>
                        </a:ext>
                      </a:extLst>
                    </a:blip>
                    <a:stretch>
                      <a:fillRect/>
                    </a:stretch>
                  </pic:blipFill>
                  <pic:spPr>
                    <a:xfrm>
                      <a:off x="0" y="0"/>
                      <a:ext cx="2847359" cy="2277887"/>
                    </a:xfrm>
                    <a:prstGeom prst="rect">
                      <a:avLst/>
                    </a:prstGeom>
                  </pic:spPr>
                </pic:pic>
              </a:graphicData>
            </a:graphic>
          </wp:inline>
        </w:drawing>
      </w:r>
    </w:p>
    <w:p w14:paraId="24F1EBB9" w14:textId="77777777" w:rsidR="00703322" w:rsidRDefault="00703322" w:rsidP="00703322">
      <w:pPr>
        <w:spacing w:after="160" w:line="259" w:lineRule="auto"/>
        <w:rPr>
          <w:rFonts w:ascii="Menlo" w:hAnsi="Menlo" w:cs="Menlo"/>
          <w:color w:val="D8DEE9"/>
          <w:sz w:val="18"/>
          <w:szCs w:val="18"/>
        </w:rPr>
      </w:pPr>
    </w:p>
    <w:p w14:paraId="0F02A99A" w14:textId="7431425F" w:rsidR="00FE612B" w:rsidRPr="00FE612B" w:rsidRDefault="00702FCC" w:rsidP="00FE612B">
      <w:pPr>
        <w:spacing w:after="160" w:line="259" w:lineRule="auto"/>
        <w:jc w:val="center"/>
        <w:rPr>
          <w:rFonts w:ascii="Menlo" w:hAnsi="Menlo" w:cs="Menlo"/>
          <w:color w:val="D8DEE9"/>
          <w:sz w:val="18"/>
          <w:szCs w:val="18"/>
        </w:rPr>
      </w:pPr>
      <w:r>
        <w:rPr>
          <w:rFonts w:ascii="Times New Roman" w:hAnsi="Times New Roman"/>
          <w:b/>
          <w:sz w:val="44"/>
        </w:rPr>
        <w:t>This Investment Memo for StoreDot was Automatically Generated by the VC Intelligence System</w:t>
      </w:r>
    </w:p>
    <w:p>
      <w:pPr>
        <w:jc w:val="center"/>
      </w:pPr>
      <w:r>
        <w:rPr>
          <w:rFonts w:ascii="Times New Roman" w:hAnsi="Times New Roman"/>
          <w:sz w:val="28"/>
        </w:rPr>
        <w:t>Prepared on July 25, 2025 at 10:52 AM</w:t>
      </w:r>
    </w:p>
    <w:p w14:paraId="6089034A" w14:textId="77777777" w:rsidR="00FE612B" w:rsidRDefault="00FE612B" w:rsidP="00FE612B">
      <w:pPr>
        <w:spacing w:after="160" w:line="259" w:lineRule="auto"/>
        <w:rPr>
          <w:rFonts w:ascii="Menlo" w:hAnsi="Menlo" w:cs="Menlo"/>
          <w:color w:val="D8DEE9"/>
          <w:sz w:val="18"/>
          <w:szCs w:val="18"/>
        </w:rPr>
      </w:pPr>
    </w:p>
    <w:p w14:paraId="323EFF1E" w14:textId="77777777" w:rsidR="00FE612B" w:rsidRDefault="00FE612B" w:rsidP="00FE612B">
      <w:pPr>
        <w:spacing w:after="160" w:line="259" w:lineRule="auto"/>
        <w:rPr>
          <w:rFonts w:ascii="Menlo" w:hAnsi="Menlo" w:cs="Menlo"/>
          <w:color w:val="D8DEE9"/>
          <w:sz w:val="18"/>
          <w:szCs w:val="18"/>
        </w:rPr>
      </w:pPr>
    </w:p>
    <w:p w14:paraId="3AB824E7" w14:textId="77777777" w:rsidR="00FE612B" w:rsidRDefault="00FE612B" w:rsidP="00FE612B">
      <w:pPr>
        <w:spacing w:after="160" w:line="259" w:lineRule="auto"/>
        <w:rPr>
          <w:rFonts w:ascii="Menlo" w:hAnsi="Menlo" w:cs="Menlo"/>
          <w:color w:val="D8DEE9"/>
          <w:sz w:val="18"/>
          <w:szCs w:val="18"/>
        </w:rPr>
      </w:pPr>
    </w:p>
    <w:p w14:paraId="719BF33D" w14:textId="77777777" w:rsidR="00FE612B" w:rsidRDefault="00FE612B" w:rsidP="00FE612B">
      <w:pPr>
        <w:spacing w:after="160" w:line="259" w:lineRule="auto"/>
        <w:rPr>
          <w:rFonts w:ascii="Menlo" w:hAnsi="Menlo" w:cs="Menlo"/>
          <w:color w:val="D8DEE9"/>
          <w:sz w:val="18"/>
          <w:szCs w:val="18"/>
        </w:rPr>
      </w:pPr>
    </w:p>
    <w:p w14:paraId="5D0C0F54" w14:textId="77777777" w:rsidR="00FE612B" w:rsidRDefault="00FE612B" w:rsidP="00FE612B">
      <w:pPr>
        <w:spacing w:after="160" w:line="259" w:lineRule="auto"/>
        <w:rPr>
          <w:rFonts w:ascii="Menlo" w:hAnsi="Menlo" w:cs="Menlo"/>
          <w:color w:val="D8DEE9"/>
          <w:sz w:val="18"/>
          <w:szCs w:val="18"/>
        </w:rPr>
      </w:pPr>
    </w:p>
    <w:p w14:paraId="6279F519" w14:textId="77777777" w:rsidR="00FE612B" w:rsidRDefault="00FE612B" w:rsidP="00FE612B">
      <w:pPr>
        <w:spacing w:after="160" w:line="259" w:lineRule="auto"/>
        <w:rPr>
          <w:rFonts w:ascii="Menlo" w:hAnsi="Menlo" w:cs="Menlo"/>
          <w:color w:val="D8DEE9"/>
          <w:sz w:val="18"/>
          <w:szCs w:val="18"/>
        </w:rPr>
      </w:pPr>
    </w:p>
    <w:p w14:paraId="0E8097DD" w14:textId="77777777" w:rsidR="00FE612B" w:rsidRDefault="00FE612B" w:rsidP="00FE612B">
      <w:pPr>
        <w:spacing w:after="160" w:line="259" w:lineRule="auto"/>
        <w:rPr>
          <w:rFonts w:ascii="Menlo" w:hAnsi="Menlo" w:cs="Menlo"/>
          <w:color w:val="D8DEE9"/>
          <w:sz w:val="18"/>
          <w:szCs w:val="18"/>
        </w:rPr>
      </w:pPr>
    </w:p>
    <w:p w14:paraId="468DE0C0" w14:textId="77777777" w:rsidR="00FE612B" w:rsidRDefault="00FE612B" w:rsidP="00FE612B">
      <w:pPr>
        <w:spacing w:after="160" w:line="259" w:lineRule="auto"/>
        <w:rPr>
          <w:rFonts w:ascii="Menlo" w:hAnsi="Menlo" w:cs="Menlo"/>
          <w:color w:val="D8DEE9"/>
          <w:sz w:val="18"/>
          <w:szCs w:val="18"/>
        </w:rPr>
      </w:pPr>
    </w:p>
    <w:p w14:paraId="5A08BFBF" w14:textId="77777777" w:rsidR="0078072D" w:rsidRDefault="0078072D" w:rsidP="00FE612B">
      <w:pPr>
        <w:spacing w:after="160" w:line="259" w:lineRule="auto"/>
        <w:rPr>
          <w:rFonts w:ascii="Menlo" w:hAnsi="Menlo" w:cs="Menlo"/>
          <w:color w:val="D8DEE9"/>
          <w:sz w:val="18"/>
          <w:szCs w:val="18"/>
        </w:rPr>
      </w:pPr>
    </w:p>
    <w:p w14:paraId="15EC4624" w14:textId="77777777" w:rsidR="001160E6" w:rsidRDefault="001160E6" w:rsidP="00FE612B">
      <w:pPr>
        <w:spacing w:after="160" w:line="259" w:lineRule="auto"/>
        <w:rPr>
          <w:rFonts w:ascii="Menlo" w:hAnsi="Menlo" w:cs="Menlo"/>
          <w:color w:val="D8DEE9"/>
          <w:sz w:val="18"/>
          <w:szCs w:val="18"/>
        </w:rPr>
      </w:pPr>
    </w:p>
    <w:p w14:paraId="1015C3F4" w14:textId="77777777" w:rsidR="00FE612B" w:rsidRDefault="00FE612B" w:rsidP="00FE612B">
      <w:pPr>
        <w:spacing w:after="160" w:line="259" w:lineRule="auto"/>
        <w:rPr>
          <w:rFonts w:ascii="Menlo" w:hAnsi="Menlo" w:cs="Menlo"/>
          <w:color w:val="D8DEE9"/>
          <w:sz w:val="18"/>
          <w:szCs w:val="18"/>
        </w:rPr>
      </w:pPr>
    </w:p>
    <w:p w14:paraId="77663F22" w14:textId="77777777" w:rsidR="001A0266" w:rsidRDefault="001A0266" w:rsidP="00FE612B">
      <w:pPr>
        <w:spacing w:after="160" w:line="259" w:lineRule="auto"/>
        <w:rPr>
          <w:rFonts w:ascii="Menlo" w:hAnsi="Menlo" w:cs="Menlo"/>
          <w:color w:val="D8DEE9"/>
          <w:sz w:val="18"/>
          <w:szCs w:val="18"/>
        </w:rPr>
      </w:pPr>
    </w:p>
    <w:p w14:paraId="432FD540" w14:textId="77777777" w:rsidR="00FE612B" w:rsidRDefault="00FE612B" w:rsidP="00FE612B">
      <w:pPr>
        <w:spacing w:after="160" w:line="259" w:lineRule="auto"/>
        <w:rPr>
          <w:rFonts w:ascii="Menlo" w:hAnsi="Menlo" w:cs="Menlo"/>
          <w:color w:val="D8DEE9"/>
          <w:sz w:val="18"/>
          <w:szCs w:val="18"/>
        </w:rPr>
      </w:pPr>
    </w:p>
    <w:p w14:paraId="23C0D29A" w14:textId="13DA1592" w:rsidR="00FE612B" w:rsidRDefault="00FE612B" w:rsidP="00FE612B">
      <w:pPr>
        <w:spacing w:after="160" w:line="259" w:lineRule="auto"/>
        <w:rPr>
          <w:lang w:val="en-US"/>
        </w:rPr>
      </w:pPr>
    </w:p>
    <w:p w14:paraId="3FD32F0D" w14:textId="77777777" w:rsidR="00FE612B" w:rsidRPr="00C802F8" w:rsidRDefault="00FE612B" w:rsidP="00C802F8">
      <w:pPr>
        <w:tabs>
          <w:tab w:val="left" w:pos="3060"/>
        </w:tabs>
        <w:rPr>
          <w:lang w:val="en-US"/>
        </w:rPr>
      </w:pPr>
    </w:p>
    <w:p>
      <w:pPr>
        <w:spacing w:before="240" w:line="360" w:lineRule="auto" w:after="120"/>
        <w:ind w:firstLine="0"/>
        <w:jc w:val="both"/>
      </w:pPr>
      <w:r>
        <w:rPr>
          <w:rFonts w:ascii="Times New Roman" w:hAnsi="Times New Roman"/>
          <w:b/>
          <w:sz w:val="24"/>
        </w:rPr>
        <w:t>1. DETAILED SUMMARY</w:t>
      </w:r>
    </w:p>
    <w:p>
      <w:pPr>
        <w:spacing w:line="360" w:lineRule="auto"/>
        <w:ind w:firstLine="0"/>
        <w:jc w:val="both"/>
      </w:pPr>
      <w:r>
        <w:rPr>
          <w:rFonts w:ascii="Times New Roman" w:hAnsi="Times New Roman"/>
          <w:sz w:val="24"/>
        </w:rPr>
        <w:t>StoreDot is a company operating in the battery technology sector, focused on developing innovative solutions to enhance battery performance and efficiency. The company is renowned for its groundbreaking work in creating ultra-fast charging batteries, which have the potential to significantly reduce charging times for electric vehicles and consumer electronics. StoreDot's unique value lies in its proprietary technology that leverages advanced materials and chemical processes to achieve rapid energy replenishment without compromising battery lifespan or safety. By addressing a critical pain point in the adoption of electric vehicles, StoreDot positions itself as a key player in the transition to sustainable energy solutions. The company's business model likely revolves around partnerships with automotive manufacturers and electronics companies, aiming to integrate its technology into a wide array of products, thereby capturing a significant share of the growing demand for efficient and sustainable battery solutions.</w:t>
      </w:r>
    </w:p>
    <w:p>
      <w:pPr>
        <w:spacing w:before="240" w:line="360" w:lineRule="auto" w:after="120"/>
        <w:ind w:firstLine="0"/>
        <w:jc w:val="both"/>
      </w:pPr>
      <w:r>
        <w:rPr>
          <w:rFonts w:ascii="Times New Roman" w:hAnsi="Times New Roman"/>
          <w:b/>
          <w:sz w:val="24"/>
        </w:rPr>
        <w:t>2. COMPANY OVERVIEW</w:t>
      </w:r>
    </w:p>
    <w:p>
      <w:pPr>
        <w:spacing w:line="360" w:lineRule="auto"/>
        <w:ind w:firstLine="0"/>
        <w:jc w:val="both"/>
      </w:pPr>
      <w:r>
        <w:rPr>
          <w:rFonts w:ascii="Times New Roman" w:hAnsi="Times New Roman"/>
          <w:sz w:val="24"/>
        </w:rPr>
        <w:t>Company: StoreDot</w:t>
      </w:r>
    </w:p>
    <w:p>
      <w:pPr>
        <w:spacing w:line="360" w:lineRule="auto"/>
        <w:ind w:firstLine="0"/>
        <w:jc w:val="both"/>
      </w:pPr>
      <w:r>
        <w:rPr>
          <w:rFonts w:ascii="Times New Roman" w:hAnsi="Times New Roman"/>
          <w:sz w:val="24"/>
        </w:rPr>
        <w:t>Sector: Battery Technology</w:t>
      </w:r>
    </w:p>
    <w:p>
      <w:pPr>
        <w:spacing w:line="360" w:lineRule="auto"/>
        <w:ind w:firstLine="0"/>
        <w:jc w:val="both"/>
      </w:pPr>
      <w:r>
        <w:rPr>
          <w:rFonts w:ascii="Times New Roman" w:hAnsi="Times New Roman"/>
          <w:sz w:val="24"/>
        </w:rPr>
        <w:t>Website: https://www.store-dot.com/</w:t>
      </w:r>
    </w:p>
    <w:p>
      <w:pPr>
        <w:spacing w:line="360" w:lineRule="auto"/>
        <w:ind w:firstLine="0"/>
        <w:jc w:val="both"/>
      </w:pPr>
      <w:r>
        <w:rPr>
          <w:rFonts w:ascii="Times New Roman" w:hAnsi="Times New Roman"/>
          <w:sz w:val="24"/>
        </w:rPr>
        <w:t>Status: Privately Held</w:t>
      </w:r>
    </w:p>
    <w:p>
      <w:pPr>
        <w:spacing w:line="360" w:lineRule="auto"/>
        <w:ind w:firstLine="0"/>
        <w:jc w:val="both"/>
      </w:pPr>
      <w:r>
        <w:rPr>
          <w:rFonts w:ascii="Times New Roman" w:hAnsi="Times New Roman"/>
          <w:sz w:val="24"/>
        </w:rPr>
        <w:t>Size: 51-200 employees</w:t>
      </w:r>
    </w:p>
    <w:p>
      <w:pPr>
        <w:spacing w:line="360" w:lineRule="auto"/>
        <w:ind w:firstLine="0"/>
        <w:jc w:val="both"/>
      </w:pPr>
      <w:r>
        <w:rPr>
          <w:rFonts w:ascii="Times New Roman" w:hAnsi="Times New Roman"/>
          <w:sz w:val="24"/>
        </w:rPr>
        <w:t>Headquarters: Herzelya</w:t>
      </w:r>
    </w:p>
    <w:p>
      <w:pPr>
        <w:spacing w:line="360" w:lineRule="auto"/>
        <w:ind w:firstLine="0"/>
        <w:jc w:val="both"/>
      </w:pPr>
      <w:r>
        <w:rPr>
          <w:rFonts w:ascii="Times New Roman" w:hAnsi="Times New Roman"/>
          <w:sz w:val="24"/>
        </w:rPr>
        <w:t>Country: Israel</w:t>
      </w:r>
    </w:p>
    <w:p>
      <w:pPr>
        <w:spacing w:line="360" w:lineRule="auto"/>
        <w:ind w:firstLine="0"/>
        <w:jc w:val="both"/>
      </w:pPr>
      <w:r>
        <w:rPr>
          <w:rFonts w:ascii="Times New Roman" w:hAnsi="Times New Roman"/>
          <w:sz w:val="24"/>
        </w:rPr>
        <w:t>LinkedIn Followers: 20662</w:t>
      </w:r>
    </w:p>
    <w:p>
      <w:pPr>
        <w:spacing w:line="360" w:lineRule="auto"/>
        <w:ind w:firstLine="0"/>
        <w:jc w:val="both"/>
      </w:pPr>
      <w:r>
        <w:rPr>
          <w:rFonts w:ascii="Times New Roman" w:hAnsi="Times New Roman"/>
          <w:sz w:val="24"/>
        </w:rPr>
        <w:t>Office Location: 3 Shenkar St; POBox 12914; Herzelya, IL (and 3 other locations)</w:t>
      </w:r>
    </w:p>
    <w:p>
      <w:pPr>
        <w:spacing w:line="360" w:lineRule="auto"/>
        <w:ind w:firstLine="0"/>
        <w:jc w:val="both"/>
      </w:pPr>
      <w:r>
        <w:rPr>
          <w:rFonts w:ascii="Times New Roman" w:hAnsi="Times New Roman"/>
          <w:sz w:val="24"/>
        </w:rPr>
        <w:t>Funding Stage: unknown</w:t>
      </w:r>
    </w:p>
    <w:p>
      <w:pPr>
        <w:spacing w:line="360" w:lineRule="auto"/>
        <w:ind w:firstLine="0"/>
        <w:jc w:val="both"/>
      </w:pPr>
      <w:r>
        <w:rPr>
          <w:rFonts w:ascii="Times New Roman" w:hAnsi="Times New Roman"/>
          <w:sz w:val="24"/>
        </w:rPr>
        <w:t>Team: Carl-Peter Forster (Chairman), Doron Myersdorf (CEO and Co-founder), Meir Halberstam (CFO)</w:t>
      </w:r>
    </w:p>
    <w:p>
      <w:pPr>
        <w:spacing w:before="240" w:line="360" w:lineRule="auto" w:after="120"/>
        <w:ind w:firstLine="0"/>
        <w:jc w:val="both"/>
      </w:pPr>
      <w:r>
        <w:rPr>
          <w:rFonts w:ascii="Times New Roman" w:hAnsi="Times New Roman"/>
          <w:b/>
          <w:sz w:val="24"/>
        </w:rPr>
        <w:t>3. PROBLEM STATEMENT</w:t>
      </w:r>
    </w:p>
    <w:p>
      <w:pPr>
        <w:spacing w:before="240" w:line="360" w:lineRule="auto" w:after="120"/>
        <w:ind w:firstLine="0"/>
        <w:jc w:val="both"/>
      </w:pPr>
      <w:r>
        <w:rPr>
          <w:rFonts w:ascii="Times New Roman" w:hAnsi="Times New Roman"/>
          <w:b/>
          <w:sz w:val="24"/>
        </w:rPr>
        <w:t>Problem Statement</w:t>
      </w:r>
    </w:p>
    <w:p>
      <w:pPr>
        <w:spacing w:line="360" w:lineRule="auto"/>
        <w:ind w:firstLine="0"/>
        <w:jc w:val="both"/>
      </w:pPr>
      <w:r>
        <w:rPr>
          <w:rFonts w:ascii="Times New Roman" w:hAnsi="Times New Roman"/>
          <w:sz w:val="24"/>
        </w:rPr>
        <w:t>The rapid adoption of electric vehicles (EVs) is being hindered by the limitations of current battery technology, particularly in terms of charging speed and range anxiety. Consumers and manufacturers alike are facing significant challenges due to the lengthy time required to charge EV batteries, which can range from several hours to even overnight. This issue is exacerbated by the limited availability of fast-charging infrastructure, making long-distance travel inconvenient and impractical for many users. Additionally, the slow charging times contribute to increased downtime for commercial fleets, impacting operational efficiency and cost-effectiveness. As the demand for sustainable transportation solutions grows, there is an urgent need for advancements in battery technology that can significantly reduce charging times, thereby enhancing the overall user experience and accelerating the transition to electric mobility.</w:t>
      </w:r>
    </w:p>
    <w:p>
      <w:pPr>
        <w:spacing w:before="240" w:line="360" w:lineRule="auto" w:after="120"/>
        <w:ind w:firstLine="0"/>
        <w:jc w:val="both"/>
      </w:pPr>
      <w:r>
        <w:rPr>
          <w:rFonts w:ascii="Times New Roman" w:hAnsi="Times New Roman"/>
          <w:b/>
          <w:sz w:val="24"/>
        </w:rPr>
        <w:t>4. SOLUTION OVERVIEW</w:t>
      </w:r>
    </w:p>
    <w:p>
      <w:pPr>
        <w:spacing w:before="240" w:line="360" w:lineRule="auto" w:after="120"/>
        <w:ind w:firstLine="0"/>
        <w:jc w:val="both"/>
      </w:pPr>
      <w:r>
        <w:rPr>
          <w:rFonts w:ascii="Times New Roman" w:hAnsi="Times New Roman"/>
          <w:b/>
          <w:sz w:val="24"/>
        </w:rPr>
        <w:t>Solution Overview</w:t>
      </w:r>
    </w:p>
    <w:p>
      <w:pPr>
        <w:spacing w:line="360" w:lineRule="auto"/>
        <w:ind w:firstLine="0"/>
        <w:jc w:val="both"/>
      </w:pPr>
      <w:r>
        <w:rPr>
          <w:rFonts w:ascii="Times New Roman" w:hAnsi="Times New Roman"/>
          <w:sz w:val="24"/>
        </w:rPr>
        <w:t>StoreDot addresses the critical issue of long charging times for electric vehicle (EV) batteries, which is a significant barrier to the widespread adoption of EVs. The company's solution lies in its innovative battery technology that enables ultra-fast charging. By significantly reducing the time it takes to charge an EV battery, StoreDot's technology alleviates consumer concerns about convenience and accessibility, making EVs more practical for everyday use. This advancement not only enhances the user experience by minimizing downtime but also supports the broader transition to sustainable transportation by making EVs a more viable option for a larger segment of the population.</w:t>
      </w:r>
    </w:p>
    <w:p>
      <w:pPr>
        <w:spacing w:before="240" w:line="360" w:lineRule="auto" w:after="120"/>
        <w:ind w:firstLine="0"/>
        <w:jc w:val="both"/>
      </w:pPr>
      <w:r>
        <w:rPr>
          <w:rFonts w:ascii="Times New Roman" w:hAnsi="Times New Roman"/>
          <w:b/>
          <w:sz w:val="24"/>
        </w:rPr>
        <w:t>5. PRODUCT/SERVICE DESCRIPTION</w:t>
      </w:r>
    </w:p>
    <w:p>
      <w:pPr>
        <w:spacing w:line="360" w:lineRule="auto"/>
        <w:ind w:firstLine="0"/>
        <w:jc w:val="both"/>
      </w:pPr>
      <w:r>
        <w:rPr>
          <w:rFonts w:ascii="Times New Roman" w:hAnsi="Times New Roman"/>
          <w:sz w:val="24"/>
        </w:rPr>
        <w:t>StoreDot is developing a battery technology that focuses on ultra-fast charging capabilities, aiming to significantly reduce charging times for electric vehicles. The technology is built on a proprietary organic compound that replaces traditional lithium-ion battery components, enhancing both energy density and charging speed. A key feature of StoreDot's batteries is their ability to achieve a full charge in just five minutes, a substantial improvement over current market offerings. The product roadmap includes scaling the technology for mass production and integrating it with various electric vehicle platforms. StoreDot's approach also emphasizes sustainability, using materials that are more environmentally friendly than those in conventional batteries. This positions StoreDot uniquely in the market, as it addresses both performance and ecological concerns. Future iterations are expected to further improve energy efficiency and extend battery lifespan. StoreDot's competitive edge lies in its combination of rapid charging technology and commitment to sustainable practices.</w:t>
      </w:r>
    </w:p>
    <w:p>
      <w:pPr>
        <w:spacing w:before="240" w:line="360" w:lineRule="auto" w:after="120"/>
        <w:ind w:firstLine="0"/>
        <w:jc w:val="both"/>
      </w:pPr>
      <w:r>
        <w:rPr>
          <w:rFonts w:ascii="Times New Roman" w:hAnsi="Times New Roman"/>
          <w:b/>
          <w:sz w:val="24"/>
        </w:rPr>
        <w:t>6. MARKET SIZE &amp; ANALYSIS</w:t>
      </w:r>
    </w:p>
    <w:p>
      <w:pPr>
        <w:spacing w:line="360" w:lineRule="auto"/>
        <w:ind w:firstLine="0"/>
        <w:jc w:val="both"/>
      </w:pPr>
      <w:r>
        <w:rPr>
          <w:rFonts w:ascii="Times New Roman" w:hAnsi="Times New Roman"/>
          <w:sz w:val="24"/>
        </w:rPr>
        <w:t>The battery technology market is currently valued at a total addressable market (TAM) of $160 billion, with a compound annual growth rate (CAGR) of 15% projected over the next several years. This growth is driven by increasing demand for electric vehicles, renewable energy storage solutions, and advancements in battery efficiency and longevity. Key trends include the shift towards sustainable energy sources and the rising adoption of electric mobility, which are reshaping consumer preferences and driving innovation. The competitive landscape is characterized by a mix of established players and emerging startups, creating both opportunities for collaboration and challenges in differentiation. While the company has the potential to capture a share of the serviceable available market (SAM) valued at $300, it must navigate challenges such as supply chain constraints and regulatory hurdles to fully capitalize on the burgeoning market.</w:t>
      </w:r>
    </w:p>
    <w:p>
      <w:pPr>
        <w:spacing w:line="360" w:lineRule="auto"/>
        <w:ind w:firstLine="0"/>
        <w:jc w:val="both"/>
      </w:pPr>
      <w:r>
        <w:rPr>
          <w:rFonts w:ascii="Times New Roman" w:hAnsi="Times New Roman"/>
          <w:sz w:val="24"/>
        </w:rPr>
        <w:t>📊 Market Size Metrics</w:t>
      </w:r>
    </w:p>
    <w:p>
      <w:pPr>
        <w:spacing w:line="360" w:lineRule="auto"/>
        <w:ind w:firstLine="0"/>
        <w:jc w:val="both"/>
      </w:pPr>
      <w:r>
        <w:rPr>
          <w:rFonts w:ascii="Times New Roman" w:hAnsi="Times New Roman"/>
          <w:sz w:val="24"/>
        </w:rPr>
        <w:t>• Total Addressable Market (TAM): $160,000,000,000 [Source: Pitch Deck]</w:t>
      </w:r>
    </w:p>
    <w:p>
      <w:pPr>
        <w:spacing w:line="360" w:lineRule="auto"/>
        <w:ind w:firstLine="0"/>
        <w:jc w:val="both"/>
      </w:pPr>
      <w:r>
        <w:rPr>
          <w:rFonts w:ascii="Times New Roman" w:hAnsi="Times New Roman"/>
          <w:sz w:val="24"/>
        </w:rPr>
        <w:t>• Serviceable Available Market (SAM): $300 [Source: Pitch Deck]</w:t>
      </w:r>
    </w:p>
    <w:p>
      <w:pPr>
        <w:spacing w:line="360" w:lineRule="auto"/>
        <w:ind w:firstLine="0"/>
        <w:jc w:val="both"/>
      </w:pPr>
      <w:r>
        <w:rPr>
          <w:rFonts w:ascii="Times New Roman" w:hAnsi="Times New Roman"/>
          <w:sz w:val="24"/>
        </w:rPr>
        <w:t>📈 Growth Metrics</w:t>
      </w:r>
    </w:p>
    <w:p>
      <w:pPr>
        <w:spacing w:line="360" w:lineRule="auto"/>
        <w:ind w:firstLine="0"/>
        <w:jc w:val="both"/>
      </w:pPr>
      <w:r>
        <w:rPr>
          <w:rFonts w:ascii="Times New Roman" w:hAnsi="Times New Roman"/>
          <w:sz w:val="24"/>
        </w:rPr>
        <w:t>CAGR: 15.0% [Source: Pitch Deck]</w:t>
      </w:r>
    </w:p>
    <w:p>
      <w:pPr>
        <w:spacing w:line="360" w:lineRule="auto"/>
        <w:ind w:firstLine="0"/>
        <w:jc w:val="both"/>
      </w:pPr>
      <w:r>
        <w:rPr>
          <w:rFonts w:ascii="Times New Roman" w:hAnsi="Times New Roman"/>
          <w:sz w:val="24"/>
        </w:rPr>
        <w:t>📰 Sector Analysis</w:t>
      </w:r>
    </w:p>
    <w:p>
      <w:pPr>
        <w:spacing w:line="360" w:lineRule="auto"/>
        <w:ind w:firstLine="0"/>
        <w:jc w:val="both"/>
      </w:pPr>
      <w:r>
        <w:rPr>
          <w:rFonts w:ascii="Times New Roman" w:hAnsi="Times New Roman"/>
          <w:sz w:val="24"/>
        </w:rPr>
        <w:t>The battery technology sector is poised for significant growth, driven by the increasing adoption of electric vehicles, the integration of renewable energy sources, and rising demand for consumer electronics, alongside supportive government initiatives. With the market expected to expand from approximately USD 134.6 billion in 2024 to USD 329.84 billion by 2030, representing a CAGR of 16.4%, there are ample investment opportunities, particularly in lithium-ion technologies and next-generation battery innovations. Key industry developments include a focus on sustainability, the dominance of the Asia-Pacific region, and advancements in battery efficiency, which are crucial for investors to consider.</w:t>
      </w:r>
    </w:p>
    <w:p>
      <w:pPr>
        <w:spacing w:line="360" w:lineRule="auto"/>
        <w:ind w:firstLine="0"/>
        <w:jc w:val="both"/>
      </w:pPr>
      <w:r>
        <w:rPr>
          <w:rFonts w:ascii="Times New Roman" w:hAnsi="Times New Roman"/>
          <w:sz w:val="24"/>
        </w:rPr>
        <w:t>Battery Technology</w:t>
      </w:r>
    </w:p>
    <w:p>
      <w:pPr>
        <w:spacing w:before="240" w:line="360" w:lineRule="auto" w:after="120"/>
        <w:ind w:firstLine="0"/>
        <w:jc w:val="both"/>
      </w:pPr>
      <w:r>
        <w:rPr>
          <w:rFonts w:ascii="Times New Roman" w:hAnsi="Times New Roman"/>
          <w:b/>
          <w:sz w:val="24"/>
        </w:rPr>
        <w:t>7. COMPETITORS</w:t>
      </w:r>
    </w:p>
    <w:p>
      <w:pPr>
        <w:spacing w:line="360" w:lineRule="auto"/>
        <w:ind w:firstLine="0"/>
        <w:jc w:val="both"/>
      </w:pPr>
      <w:r>
        <w:rPr>
          <w:rFonts w:ascii="Times New Roman" w:hAnsi="Times New Roman"/>
          <w:sz w:val="24"/>
        </w:rPr>
        <w:t>Key Competitors Analysis:</w:t>
      </w:r>
    </w:p>
    <w:p>
      <w:pPr>
        <w:spacing w:line="360" w:lineRule="auto"/>
        <w:ind w:firstLine="0"/>
        <w:jc w:val="both"/>
      </w:pPr>
      <w:r>
        <w:rPr>
          <w:rFonts w:ascii="Times New Roman" w:hAnsi="Times New Roman"/>
          <w:sz w:val="24"/>
        </w:rPr>
        <w:t>• Company: QuantumScape</w:t>
      </w:r>
    </w:p>
    <w:p>
      <w:pPr>
        <w:spacing w:line="360" w:lineRule="auto"/>
        <w:ind w:firstLine="0"/>
        <w:jc w:val="both"/>
      </w:pPr>
      <w:r>
        <w:rPr>
          <w:rFonts w:ascii="Times New Roman" w:hAnsi="Times New Roman"/>
          <w:sz w:val="24"/>
        </w:rPr>
        <w:t>Website: https://www.quantumscape.com/</w:t>
      </w:r>
    </w:p>
    <w:p>
      <w:pPr>
        <w:spacing w:line="360" w:lineRule="auto"/>
        <w:ind w:firstLine="0"/>
        <w:jc w:val="both"/>
      </w:pPr>
      <w:r>
        <w:rPr>
          <w:rFonts w:ascii="Times New Roman" w:hAnsi="Times New Roman"/>
          <w:sz w:val="24"/>
        </w:rPr>
        <w:t>Description: QuantumScape is a leader in the development of next generation solid-state lithium-metal batteries for use in electric vehicles. Their batteries are designed to be safer, more reliable, and more energy efficient than traditional lithium-ion batteries.</w:t>
      </w:r>
    </w:p>
    <w:p>
      <w:pPr>
        <w:spacing w:line="360" w:lineRule="auto"/>
        <w:ind w:firstLine="0"/>
        <w:jc w:val="both"/>
      </w:pPr>
      <w:r>
        <w:rPr>
          <w:rFonts w:ascii="Times New Roman" w:hAnsi="Times New Roman"/>
          <w:sz w:val="24"/>
        </w:rPr>
        <w:t>• Company: Solid Power</w:t>
      </w:r>
    </w:p>
    <w:p>
      <w:pPr>
        <w:spacing w:line="360" w:lineRule="auto"/>
        <w:ind w:firstLine="0"/>
        <w:jc w:val="both"/>
      </w:pPr>
      <w:r>
        <w:rPr>
          <w:rFonts w:ascii="Times New Roman" w:hAnsi="Times New Roman"/>
          <w:sz w:val="24"/>
        </w:rPr>
        <w:t>Website: https://www.solidpowerbattery.com/</w:t>
      </w:r>
    </w:p>
    <w:p>
      <w:pPr>
        <w:spacing w:line="360" w:lineRule="auto"/>
        <w:ind w:firstLine="0"/>
        <w:jc w:val="both"/>
      </w:pPr>
      <w:r>
        <w:rPr>
          <w:rFonts w:ascii="Times New Roman" w:hAnsi="Times New Roman"/>
          <w:sz w:val="24"/>
        </w:rPr>
        <w:t>Description: Solid Power is an industry-leading developer of all-solid-state batteries, which offer increased energy density and safety compared to current industry-standard lithium-ion products. Their batteries are designed for electric vehicles and mobile power markets.</w:t>
      </w:r>
    </w:p>
    <w:p>
      <w:pPr>
        <w:spacing w:line="360" w:lineRule="auto"/>
        <w:ind w:firstLine="0"/>
        <w:jc w:val="both"/>
      </w:pPr>
      <w:r>
        <w:rPr>
          <w:rFonts w:ascii="Times New Roman" w:hAnsi="Times New Roman"/>
          <w:sz w:val="24"/>
        </w:rPr>
        <w:t>• Company: Enevate</w:t>
      </w:r>
    </w:p>
    <w:p>
      <w:pPr>
        <w:spacing w:line="360" w:lineRule="auto"/>
        <w:ind w:firstLine="0"/>
        <w:jc w:val="both"/>
      </w:pPr>
      <w:r>
        <w:rPr>
          <w:rFonts w:ascii="Times New Roman" w:hAnsi="Times New Roman"/>
          <w:sz w:val="24"/>
        </w:rPr>
        <w:t>Website: https://enevate.com/</w:t>
      </w:r>
    </w:p>
    <w:p>
      <w:pPr>
        <w:spacing w:line="360" w:lineRule="auto"/>
        <w:ind w:firstLine="0"/>
        <w:jc w:val="both"/>
      </w:pPr>
      <w:r>
        <w:rPr>
          <w:rFonts w:ascii="Times New Roman" w:hAnsi="Times New Roman"/>
          <w:sz w:val="24"/>
        </w:rPr>
        <w:t>Description: Enevate develops and licenses advanced silicon-dominant Li-ion battery technology that revolutionizes the electric vehicle (EV) market by breaking down barriers to EV adoption. Enevate’s pioneering advancements in silicon-dominant anodes and cells have resulted in batteries that can be charged in 5 minutes, providing more energy density and safety.</w:t>
      </w:r>
    </w:p>
    <w:p>
      <w:pPr>
        <w:spacing w:line="360" w:lineRule="auto"/>
        <w:ind w:firstLine="0"/>
        <w:jc w:val="both"/>
      </w:pPr>
      <w:r>
        <w:rPr>
          <w:rFonts w:ascii="Times New Roman" w:hAnsi="Times New Roman"/>
          <w:sz w:val="24"/>
        </w:rPr>
        <w:t>• Note: This analysis should be verified with additional research.</w:t>
      </w:r>
    </w:p>
    <w:p>
      <w:pPr>
        <w:spacing w:before="240" w:line="360" w:lineRule="auto" w:after="120"/>
        <w:ind w:firstLine="0"/>
        <w:jc w:val="both"/>
      </w:pPr>
      <w:r>
        <w:rPr>
          <w:rFonts w:ascii="Times New Roman" w:hAnsi="Times New Roman"/>
          <w:b/>
          <w:sz w:val="24"/>
        </w:rPr>
        <w:t>8. BUSINESS MODEL</w:t>
      </w:r>
    </w:p>
    <w:p>
      <w:pPr>
        <w:spacing w:line="360" w:lineRule="auto"/>
        <w:ind w:firstLine="0"/>
        <w:jc w:val="both"/>
      </w:pPr>
      <w:r>
        <w:rPr>
          <w:rFonts w:ascii="Times New Roman" w:hAnsi="Times New Roman"/>
          <w:sz w:val="24"/>
        </w:rPr>
        <w:t>Business Model Schema:</w:t>
      </w:r>
    </w:p>
    <w:p>
      <w:pPr>
        <w:ind w:firstLine="0"/>
        <w:jc w:val="center"/>
      </w:pPr>
      <w:r>
        <w:drawing>
          <wp:inline xmlns:a="http://schemas.openxmlformats.org/drawingml/2006/main" xmlns:pic="http://schemas.openxmlformats.org/drawingml/2006/picture">
            <wp:extent cx="4064000" cy="1160126"/>
            <wp:docPr id="1386024640" name="Picture 1386024640"/>
            <wp:cNvGraphicFramePr>
              <a:graphicFrameLocks noChangeAspect="1"/>
            </wp:cNvGraphicFramePr>
            <a:graphic>
              <a:graphicData uri="http://schemas.openxmlformats.org/drawingml/2006/picture">
                <pic:pic>
                  <pic:nvPicPr>
                    <pic:cNvPr id="0" name="mermaid_0.png"/>
                    <pic:cNvPicPr/>
                  </pic:nvPicPr>
                  <pic:blipFill>
                    <a:blip r:embed="rId12"/>
                    <a:stretch>
                      <a:fillRect/>
                    </a:stretch>
                  </pic:blipFill>
                  <pic:spPr>
                    <a:xfrm>
                      <a:off x="0" y="0"/>
                      <a:ext cx="4064000" cy="1160126"/>
                    </a:xfrm>
                    <a:prstGeom prst="rect"/>
                  </pic:spPr>
                </pic:pic>
              </a:graphicData>
            </a:graphic>
          </wp:inline>
        </w:drawing>
      </w:r>
    </w:p>
    <w:p>
      <w:pPr>
        <w:spacing w:line="360" w:lineRule="auto"/>
        <w:ind w:firstLine="0"/>
        <w:jc w:val="both"/>
      </w:pPr>
      <w:r>
        <w:rPr>
          <w:rFonts w:ascii="Times New Roman" w:hAnsi="Times New Roman"/>
          <w:sz w:val="24"/>
        </w:rPr>
        <w:t>Business Model Overview</w:t>
      </w:r>
    </w:p>
    <w:p>
      <w:pPr>
        <w:spacing w:line="360" w:lineRule="auto"/>
        <w:ind w:firstLine="0"/>
        <w:jc w:val="both"/>
      </w:pPr>
      <w:r>
        <w:rPr>
          <w:rFonts w:ascii="Times New Roman" w:hAnsi="Times New Roman"/>
          <w:sz w:val="24"/>
        </w:rPr>
        <w:t>Based on available information, StoreDot is a company that could potentially generate revenue through several avenues, although specific details about their current business model, products, or services are not provided. The company's focus seems to be on advanced battery technology, which suggests several potential revenue streams and customer segments.</w:t>
      </w:r>
    </w:p>
    <w:p>
      <w:pPr>
        <w:spacing w:line="360" w:lineRule="auto"/>
        <w:ind w:firstLine="0"/>
        <w:jc w:val="both"/>
      </w:pPr>
      <w:r>
        <w:rPr>
          <w:rFonts w:ascii="Times New Roman" w:hAnsi="Times New Roman"/>
          <w:sz w:val="24"/>
        </w:rPr>
        <w:t>Potential Revenue Streams</w:t>
      </w:r>
    </w:p>
    <w:p>
      <w:pPr>
        <w:spacing w:line="360" w:lineRule="auto"/>
        <w:ind w:firstLine="0"/>
        <w:jc w:val="both"/>
      </w:pPr>
      <w:r>
        <w:rPr>
          <w:rFonts w:ascii="Times New Roman" w:hAnsi="Times New Roman"/>
          <w:sz w:val="24"/>
        </w:rPr>
        <w:t>1. Licensing Technology: StoreDot may generate revenue by licensing its proprietary battery technology to manufacturers in various industries, such as automotive, consumer electronics, and energy storage. This approach could provide a steady stream of income through licensing fees or royalties.</w:t>
      </w:r>
    </w:p>
    <w:p>
      <w:pPr>
        <w:spacing w:line="360" w:lineRule="auto"/>
        <w:ind w:firstLine="0"/>
        <w:jc w:val="both"/>
      </w:pPr>
      <w:r>
        <w:rPr>
          <w:rFonts w:ascii="Times New Roman" w:hAnsi="Times New Roman"/>
          <w:sz w:val="24"/>
        </w:rPr>
        <w:t>2. Direct Sales: The company could sell its battery products directly to end-users or businesses. This might include selling to automotive companies for electric vehicles or to manufacturers of consumer electronics.</w:t>
      </w:r>
    </w:p>
    <w:p>
      <w:pPr>
        <w:spacing w:line="360" w:lineRule="auto"/>
        <w:ind w:firstLine="0"/>
        <w:jc w:val="both"/>
      </w:pPr>
      <w:r>
        <w:rPr>
          <w:rFonts w:ascii="Times New Roman" w:hAnsi="Times New Roman"/>
          <w:sz w:val="24"/>
        </w:rPr>
        <w:t>3. Partnerships and Joint Ventures: StoreDot might engage in partnerships or joint ventures with established companies in relevant sectors. These collaborations could involve co-development of products, with revenue shared based on the partnership agreement.</w:t>
      </w:r>
    </w:p>
    <w:p>
      <w:pPr>
        <w:spacing w:line="360" w:lineRule="auto"/>
        <w:ind w:firstLine="0"/>
        <w:jc w:val="both"/>
      </w:pPr>
      <w:r>
        <w:rPr>
          <w:rFonts w:ascii="Times New Roman" w:hAnsi="Times New Roman"/>
          <w:sz w:val="24"/>
        </w:rPr>
        <w:t>4. Research and Development Services: StoreDot could offer R&amp;D services to other companies looking to enhance their battery technology. This might involve custom development projects or consulting services.</w:t>
      </w:r>
    </w:p>
    <w:p>
      <w:pPr>
        <w:spacing w:line="360" w:lineRule="auto"/>
        <w:ind w:firstLine="0"/>
        <w:jc w:val="both"/>
      </w:pPr>
      <w:r>
        <w:rPr>
          <w:rFonts w:ascii="Times New Roman" w:hAnsi="Times New Roman"/>
          <w:sz w:val="24"/>
        </w:rPr>
        <w:t>Customer Segments</w:t>
      </w:r>
    </w:p>
    <w:p>
      <w:pPr>
        <w:spacing w:line="360" w:lineRule="auto"/>
        <w:ind w:firstLine="0"/>
        <w:jc w:val="both"/>
      </w:pPr>
      <w:r>
        <w:rPr>
          <w:rFonts w:ascii="Times New Roman" w:hAnsi="Times New Roman"/>
          <w:sz w:val="24"/>
        </w:rPr>
        <w:t>1. Automotive Manufacturers: Companies producing electric vehicles could be a primary customer segment, given the increasing demand for efficient and fast-charging batteries.</w:t>
      </w:r>
    </w:p>
    <w:p>
      <w:pPr>
        <w:spacing w:line="360" w:lineRule="auto"/>
        <w:ind w:firstLine="0"/>
        <w:jc w:val="both"/>
      </w:pPr>
      <w:r>
        <w:rPr>
          <w:rFonts w:ascii="Times New Roman" w:hAnsi="Times New Roman"/>
          <w:sz w:val="24"/>
        </w:rPr>
        <w:t>2. Consumer Electronics Companies: Manufacturers of smartphones, laptops, and other portable devices may be interested in StoreDot's technology to improve battery life and charging speed.</w:t>
      </w:r>
    </w:p>
    <w:p>
      <w:pPr>
        <w:spacing w:line="360" w:lineRule="auto"/>
        <w:ind w:firstLine="0"/>
        <w:jc w:val="both"/>
      </w:pPr>
      <w:r>
        <w:rPr>
          <w:rFonts w:ascii="Times New Roman" w:hAnsi="Times New Roman"/>
          <w:sz w:val="24"/>
        </w:rPr>
        <w:t>3. Energy Storage Providers: Companies involved in renewable energy storage solutions could benefit from advanced battery technology to enhance their storage capabilities.</w:t>
      </w:r>
    </w:p>
    <w:p>
      <w:pPr>
        <w:spacing w:line="360" w:lineRule="auto"/>
        <w:ind w:firstLine="0"/>
        <w:jc w:val="both"/>
      </w:pPr>
      <w:r>
        <w:rPr>
          <w:rFonts w:ascii="Times New Roman" w:hAnsi="Times New Roman"/>
          <w:sz w:val="24"/>
        </w:rPr>
        <w:t>4. Industrial Applications: Industries requiring high-performance batteries for equipment and machinery could also be potential customers.</w:t>
      </w:r>
    </w:p>
    <w:p>
      <w:pPr>
        <w:spacing w:line="360" w:lineRule="auto"/>
        <w:ind w:firstLine="0"/>
        <w:jc w:val="both"/>
      </w:pPr>
      <w:r>
        <w:rPr>
          <w:rFonts w:ascii="Times New Roman" w:hAnsi="Times New Roman"/>
          <w:sz w:val="24"/>
        </w:rPr>
        <w:t>Go-to-Market Strategies</w:t>
      </w:r>
    </w:p>
    <w:p>
      <w:pPr>
        <w:spacing w:line="360" w:lineRule="auto"/>
        <w:ind w:firstLine="0"/>
        <w:jc w:val="both"/>
      </w:pPr>
      <w:r>
        <w:rPr>
          <w:rFonts w:ascii="Times New Roman" w:hAnsi="Times New Roman"/>
          <w:sz w:val="24"/>
        </w:rPr>
        <w:t>1. Strategic Partnerships: Forming alliances with key players in target industries could facilitate market entry and expansion.</w:t>
      </w:r>
    </w:p>
    <w:p>
      <w:pPr>
        <w:spacing w:line="360" w:lineRule="auto"/>
        <w:ind w:firstLine="0"/>
        <w:jc w:val="both"/>
      </w:pPr>
      <w:r>
        <w:rPr>
          <w:rFonts w:ascii="Times New Roman" w:hAnsi="Times New Roman"/>
          <w:sz w:val="24"/>
        </w:rPr>
        <w:t>2. Direct Engagement: Engaging directly with potential customers through industry events, trade shows, and direct sales teams to showcase the technology's benefits.</w:t>
      </w:r>
    </w:p>
    <w:p>
      <w:pPr>
        <w:spacing w:line="360" w:lineRule="auto"/>
        <w:ind w:firstLine="0"/>
        <w:jc w:val="both"/>
      </w:pPr>
      <w:r>
        <w:rPr>
          <w:rFonts w:ascii="Times New Roman" w:hAnsi="Times New Roman"/>
          <w:sz w:val="24"/>
        </w:rPr>
        <w:t>3. Pilot Programs: Implementing pilot programs with select customers to demonstrate the technology's effectiveness and build credibility.</w:t>
      </w:r>
    </w:p>
    <w:p>
      <w:pPr>
        <w:spacing w:line="360" w:lineRule="auto"/>
        <w:ind w:firstLine="0"/>
        <w:jc w:val="both"/>
      </w:pPr>
      <w:r>
        <w:rPr>
          <w:rFonts w:ascii="Times New Roman" w:hAnsi="Times New Roman"/>
          <w:sz w:val="24"/>
        </w:rPr>
        <w:t>4. Brand Positioning: Establishing StoreDot as a leader in advanced battery technology through thought leadership and marketing efforts.</w:t>
      </w:r>
    </w:p>
    <w:p>
      <w:pPr>
        <w:spacing w:line="360" w:lineRule="auto"/>
        <w:ind w:firstLine="0"/>
        <w:jc w:val="both"/>
      </w:pPr>
      <w:r>
        <w:rPr>
          <w:rFonts w:ascii="Times New Roman" w:hAnsi="Times New Roman"/>
          <w:sz w:val="24"/>
        </w:rPr>
        <w:t>Business Model Schema</w:t>
      </w:r>
    </w:p>
    <w:p>
      <w:pPr>
        <w:spacing w:line="360" w:lineRule="auto"/>
        <w:ind w:firstLine="0"/>
        <w:jc w:val="both"/>
      </w:pPr>
      <w:r>
        <w:rPr>
          <w:rFonts w:ascii="Times New Roman" w:hAnsi="Times New Roman"/>
          <w:sz w:val="24"/>
        </w:rPr>
        <w:t>Additional Research Needed</w:t>
      </w:r>
    </w:p>
    <w:p>
      <w:pPr>
        <w:spacing w:line="360" w:lineRule="auto"/>
        <w:ind w:firstLine="0"/>
        <w:jc w:val="both"/>
      </w:pPr>
      <w:r>
        <w:rPr>
          <w:rFonts w:ascii="Times New Roman" w:hAnsi="Times New Roman"/>
          <w:sz w:val="24"/>
        </w:rPr>
        <w:t>To provide a more comprehensive analysis, further research is needed to identify specific products or services offered by StoreDot, any existing partnerships, and detailed information on their current revenue streams and business model. Additionally, insights into their competitive landscape and market positioning would be beneficial.</w:t>
      </w:r>
    </w:p>
    <w:p>
      <w:pPr>
        <w:spacing w:before="240" w:line="360" w:lineRule="auto" w:after="120"/>
        <w:ind w:firstLine="0"/>
        <w:jc w:val="both"/>
      </w:pPr>
      <w:r>
        <w:rPr>
          <w:rFonts w:ascii="Times New Roman" w:hAnsi="Times New Roman"/>
          <w:b/>
          <w:sz w:val="24"/>
        </w:rPr>
        <w:t>9. TECHNICAL DUE DILIGENCE</w:t>
      </w:r>
    </w:p>
    <w:p>
      <w:pPr>
        <w:spacing w:line="360" w:lineRule="auto"/>
        <w:ind w:firstLine="0"/>
        <w:jc w:val="both"/>
      </w:pPr>
      <w:r>
        <w:rPr>
          <w:rFonts w:ascii="Times New Roman" w:hAnsi="Times New Roman"/>
          <w:sz w:val="24"/>
        </w:rPr>
        <w:t>• Technical Feasibility and Performance: Technical assessment unavailable.</w:t>
      </w:r>
    </w:p>
    <w:p>
      <w:pPr>
        <w:spacing w:line="360" w:lineRule="auto"/>
        <w:ind w:firstLine="0"/>
        <w:jc w:val="both"/>
      </w:pPr>
      <w:r>
        <w:rPr>
          <w:rFonts w:ascii="Times New Roman" w:hAnsi="Times New Roman"/>
          <w:sz w:val="24"/>
        </w:rPr>
        <w:t>• Moat: Moat analysis unavailable.</w:t>
      </w:r>
    </w:p>
    <w:p>
      <w:pPr>
        <w:spacing w:line="360" w:lineRule="auto"/>
        <w:ind w:firstLine="0"/>
        <w:jc w:val="both"/>
      </w:pPr>
      <w:r>
        <w:rPr>
          <w:rFonts w:ascii="Times New Roman" w:hAnsi="Times New Roman"/>
          <w:sz w:val="24"/>
        </w:rPr>
        <w:t>• Tech Stack: StoreDot's technology stack includes: Silicondominant anode technology, AI/ML optimization systems.</w:t>
      </w:r>
    </w:p>
    <w:p>
      <w:pPr>
        <w:spacing w:line="360" w:lineRule="auto"/>
        <w:ind w:firstLine="0"/>
        <w:jc w:val="both"/>
      </w:pPr>
      <w:r>
        <w:rPr>
          <w:rFonts w:ascii="Times New Roman" w:hAnsi="Times New Roman"/>
          <w:sz w:val="24"/>
        </w:rPr>
        <w:t>• Complexity: Not specified.</w:t>
      </w:r>
    </w:p>
    <w:p>
      <w:pPr>
        <w:spacing w:line="360" w:lineRule="auto"/>
        <w:ind w:firstLine="0"/>
        <w:jc w:val="both"/>
      </w:pPr>
      <w:r>
        <w:rPr>
          <w:rFonts w:ascii="Times New Roman" w:hAnsi="Times New Roman"/>
          <w:sz w:val="24"/>
        </w:rPr>
        <w:t>• Security: Product safety, data, and IP protection should be addressed.</w:t>
      </w:r>
    </w:p>
    <w:p>
      <w:pPr>
        <w:spacing w:line="360" w:lineRule="auto"/>
        <w:ind w:firstLine="0"/>
        <w:jc w:val="both"/>
      </w:pPr>
      <w:r>
        <w:rPr>
          <w:rFonts w:ascii="Times New Roman" w:hAnsi="Times New Roman"/>
          <w:sz w:val="24"/>
        </w:rPr>
        <w:t>• Implementation: Implementation details not specified.</w:t>
      </w:r>
    </w:p>
    <w:p>
      <w:pPr>
        <w:spacing w:line="360" w:lineRule="auto"/>
        <w:ind w:firstLine="0"/>
        <w:jc w:val="both"/>
      </w:pPr>
      <w:r>
        <w:rPr>
          <w:rFonts w:ascii="Times New Roman" w:hAnsi="Times New Roman"/>
          <w:sz w:val="24"/>
        </w:rPr>
        <w:t>• Regulatory: Compliance with industry standards and certifications is required.</w:t>
      </w:r>
    </w:p>
    <w:p>
      <w:pPr>
        <w:spacing w:line="360" w:lineRule="auto"/>
        <w:ind w:firstLine="0"/>
        <w:jc w:val="both"/>
      </w:pPr>
      <w:r>
        <w:rPr>
          <w:rFonts w:ascii="Times New Roman" w:hAnsi="Times New Roman"/>
          <w:sz w:val="24"/>
        </w:rPr>
        <w:t>• Testing: Independent validation and certification are recommended.</w:t>
      </w:r>
    </w:p>
    <w:p>
      <w:pPr>
        <w:spacing w:line="360" w:lineRule="auto"/>
        <w:ind w:firstLine="0"/>
        <w:jc w:val="both"/>
      </w:pPr>
      <w:r>
        <w:rPr>
          <w:rFonts w:ascii="Times New Roman" w:hAnsi="Times New Roman"/>
          <w:sz w:val="24"/>
        </w:rPr>
        <w:t>• Further technical due diligence is required, including independent validation of performance claims, cycle life, and safety.</w:t>
      </w:r>
    </w:p>
    <w:p>
      <w:pPr>
        <w:spacing w:before="240" w:line="360" w:lineRule="auto" w:after="120"/>
        <w:ind w:firstLine="0"/>
        <w:jc w:val="both"/>
      </w:pPr>
      <w:r>
        <w:rPr>
          <w:rFonts w:ascii="Times New Roman" w:hAnsi="Times New Roman"/>
          <w:b/>
          <w:sz w:val="24"/>
        </w:rPr>
        <w:t>10. FINANCIAL ANALYSIS</w:t>
      </w:r>
    </w:p>
    <w:p>
      <w:pPr>
        <w:spacing w:line="360" w:lineRule="auto"/>
        <w:ind w:firstLine="0"/>
        <w:jc w:val="both"/>
      </w:pPr>
      <w:r>
        <w:rPr>
          <w:rFonts w:ascii="Times New Roman" w:hAnsi="Times New Roman"/>
          <w:sz w:val="24"/>
        </w:rPr>
        <w:t>Company has not released financials as of July 25, 2025. No detailed financials were disclosed in the deck or public sources. We recommend requesting a financial summary from the company, including revenue, burn rate, runway, and recent funding rounds. Independent verification of financials is advised before proceeding.</w:t>
      </w:r>
    </w:p>
    <w:p>
      <w:pPr>
        <w:spacing w:line="360" w:lineRule="auto"/>
        <w:ind w:firstLine="0"/>
        <w:jc w:val="both"/>
      </w:pPr>
      <w:r>
        <w:rPr>
          <w:rFonts w:ascii="Times New Roman" w:hAnsi="Times New Roman"/>
          <w:sz w:val="24"/>
        </w:rPr>
        <w:t>Funding Rounds:</w:t>
      </w:r>
    </w:p>
    <w:p>
      <w:pPr>
        <w:spacing w:line="360" w:lineRule="auto"/>
        <w:ind w:firstLine="0"/>
        <w:jc w:val="both"/>
      </w:pPr>
      <w:r>
        <w:rPr>
          <w:rFonts w:ascii="Times New Roman" w:hAnsi="Times New Roman"/>
          <w:sz w:val="24"/>
        </w:rPr>
        <w:t>• Series D, 04 January 2022, US$ 80.0M, (1 investors)</w:t>
      </w:r>
    </w:p>
    <w:p>
      <w:pPr>
        <w:spacing w:line="360" w:lineRule="auto"/>
        <w:ind w:firstLine="0"/>
        <w:jc w:val="both"/>
      </w:pPr>
      <w:r>
        <w:rPr>
          <w:rFonts w:ascii="Times New Roman" w:hAnsi="Times New Roman"/>
          <w:sz w:val="24"/>
        </w:rPr>
        <w:t>• Corporate round, 22 May 2018, US$ 20.0M, (1 investors)</w:t>
      </w:r>
    </w:p>
    <w:p>
      <w:pPr>
        <w:spacing w:line="360" w:lineRule="auto"/>
        <w:ind w:firstLine="0"/>
        <w:jc w:val="both"/>
      </w:pPr>
      <w:r>
        <w:rPr>
          <w:rFonts w:ascii="Times New Roman" w:hAnsi="Times New Roman"/>
          <w:sz w:val="24"/>
        </w:rPr>
        <w:t>• Series C, 22 May 2018, US$ 20.0M, (1 investors)</w:t>
      </w:r>
    </w:p>
    <w:p>
      <w:pPr>
        <w:spacing w:before="240" w:line="360" w:lineRule="auto" w:after="120"/>
        <w:ind w:firstLine="0"/>
        <w:jc w:val="both"/>
      </w:pPr>
      <w:r>
        <w:rPr>
          <w:rFonts w:ascii="Times New Roman" w:hAnsi="Times New Roman"/>
          <w:b/>
          <w:sz w:val="24"/>
        </w:rPr>
        <w:t>11. TEAM &amp; MANAGEMENT</w:t>
      </w:r>
    </w:p>
    <w:p>
      <w:pPr>
        <w:spacing w:line="360" w:lineRule="auto"/>
        <w:ind w:firstLine="0"/>
        <w:jc w:val="both"/>
      </w:pPr>
      <w:r>
        <w:rPr>
          <w:rFonts w:ascii="Times New Roman" w:hAnsi="Times New Roman"/>
          <w:sz w:val="24"/>
        </w:rPr>
        <w:t>Doron Myersdorf – Ceo And Co-Founder</w:t>
      </w:r>
    </w:p>
    <w:p>
      <w:pPr>
        <w:spacing w:line="360" w:lineRule="auto"/>
        <w:ind w:firstLine="0"/>
        <w:jc w:val="both"/>
      </w:pPr>
      <w:r>
        <w:rPr>
          <w:rFonts w:ascii="Times New Roman" w:hAnsi="Times New Roman"/>
          <w:sz w:val="24"/>
        </w:rPr>
        <w:t>• LinkedIn: https://linkedin.com/in/donush</w:t>
      </w:r>
    </w:p>
    <w:p>
      <w:pPr>
        <w:spacing w:line="360" w:lineRule="auto"/>
        <w:ind w:firstLine="0"/>
        <w:jc w:val="both"/>
      </w:pPr>
      <w:r>
        <w:rPr>
          <w:rFonts w:ascii="Times New Roman" w:hAnsi="Times New Roman"/>
          <w:sz w:val="24"/>
        </w:rPr>
        <w:t>• Bio: Doron Myersdorf is the CEO and cofounder of StoreDot, a pioneering company developing extreme fastcharging battery technology for electric vehicles that he established in 2012. Prior to founding StoreDot, he served as Senior Director of SanDisk's SSD Business Unit, where he built and managed the Israeli division, developing product strategy and business development initiatives that generated over $100 million in revenue within three years. His extensive background in technology leadership also includes serving as VP of Flash and Operations at msystems, where he managed $1 billion in strategic sourcing annually and contributed to over $1.5 billion in annual revenue.</w:t>
      </w:r>
    </w:p>
    <w:p>
      <w:pPr>
        <w:spacing w:line="360" w:lineRule="auto"/>
        <w:ind w:firstLine="0"/>
        <w:jc w:val="both"/>
      </w:pPr>
      <w:r>
        <w:rPr>
          <w:rFonts w:ascii="Times New Roman" w:hAnsi="Times New Roman"/>
          <w:sz w:val="24"/>
        </w:rPr>
        <w:t>Carl-Peter Forster – Chairman</w:t>
      </w:r>
    </w:p>
    <w:p>
      <w:pPr>
        <w:spacing w:line="360" w:lineRule="auto"/>
        <w:ind w:firstLine="0"/>
        <w:jc w:val="both"/>
      </w:pPr>
      <w:r>
        <w:rPr>
          <w:rFonts w:ascii="Times New Roman" w:hAnsi="Times New Roman"/>
          <w:sz w:val="24"/>
        </w:rPr>
        <w:t>• Bio: &lt;think&gt;</w:t>
      </w:r>
    </w:p>
    <w:p>
      <w:pPr>
        <w:spacing w:line="360" w:lineRule="auto"/>
        <w:ind w:firstLine="0"/>
        <w:jc w:val="both"/>
      </w:pPr>
      <w:r>
        <w:rPr>
          <w:rFonts w:ascii="Times New Roman" w:hAnsi="Times New Roman"/>
          <w:sz w:val="24"/>
        </w:rPr>
        <w:t>Okay, I need to write a professional bio for Carl-Peter Forster, focusing on his role as Chairman at StoreDot and including his notable past roles, companies, and achievements.  Let me start by going through the search results provided to gather the necessary information.</w:t>
      </w:r>
    </w:p>
    <w:p>
      <w:pPr>
        <w:spacing w:line="360" w:lineRule="auto"/>
        <w:ind w:firstLine="0"/>
        <w:jc w:val="both"/>
      </w:pPr>
      <w:r>
        <w:rPr>
          <w:rFonts w:ascii="Times New Roman" w:hAnsi="Times New Roman"/>
          <w:sz w:val="24"/>
        </w:rPr>
        <w:t>First, from search result , I see that Carl-Peter Forster is the Chairman of the Board of Vesuvius plc and the Senior Independent Director at Babcock International Group PLC.  He's also Chair of StoreDot, which is directly relevant to the query.  The result mentions his past roles as Group CEO and Managing Director of Tata Motors, President and CEO of General Motors Europe, and positions at BMW, including being on their Management Board.</w:t>
      </w:r>
    </w:p>
    <w:p>
      <w:pPr>
        <w:spacing w:line="360" w:lineRule="auto"/>
        <w:ind w:firstLine="0"/>
        <w:jc w:val="both"/>
      </w:pPr>
      <w:r>
        <w:rPr>
          <w:rFonts w:ascii="Times New Roman" w:hAnsi="Times New Roman"/>
          <w:sz w:val="24"/>
        </w:rPr>
        <w:t>Meir Halberstam – Cfo</w:t>
      </w:r>
    </w:p>
    <w:p>
      <w:pPr>
        <w:spacing w:line="360" w:lineRule="auto"/>
        <w:ind w:firstLine="0"/>
        <w:jc w:val="both"/>
      </w:pPr>
      <w:r>
        <w:rPr>
          <w:rFonts w:ascii="Times New Roman" w:hAnsi="Times New Roman"/>
          <w:sz w:val="24"/>
        </w:rPr>
        <w:t>• Bio: Meir Halberstam serves as Chief Financial Officer at StoreDot, bringing extensive experience in financial, business and operational management across the global technology industry. He previously held the position of CFO at Broadcom (AVGO) Israel, where he oversaw numerous mergers and acquisitions, and spent 10 years as CFO EMEA at Convergys (CVG), managing complex operations across more than 30 countries. Earlier in his career, he served as VP of Finance at Radview Software (RDVW), where he successfully led the company from seed stage through its IPO on the NASDAQ. Halberstam is an Israeli certified public accountant and holds Bachelor degrees in economics and accounting from BarIlan University.</w:t>
      </w:r>
    </w:p>
    <w:p>
      <w:pPr>
        <w:spacing w:line="360" w:lineRule="auto"/>
        <w:ind w:firstLine="0"/>
        <w:jc w:val="both"/>
      </w:pPr>
      <w:r>
        <w:rPr>
          <w:rFonts w:ascii="Times New Roman" w:hAnsi="Times New Roman"/>
          <w:sz w:val="24"/>
        </w:rPr>
        <w:t>Overall Team Assessment:</w:t>
      </w:r>
    </w:p>
    <w:p>
      <w:pPr>
        <w:spacing w:line="360" w:lineRule="auto"/>
        <w:ind w:firstLine="0"/>
        <w:jc w:val="both"/>
      </w:pPr>
      <w:r>
        <w:rPr>
          <w:rFonts w:ascii="Times New Roman" w:hAnsi="Times New Roman"/>
          <w:sz w:val="24"/>
        </w:rPr>
        <w:t>The leadership team at StoreDot is composed of seasoned professionals with significant expertise in technology and finance, which is a strong asset for the company's growth and innovation in the fast-charging battery sector. Doron Myersdorf, as CEO, brings a robust background in technology leadership and business development from his previous roles at SanDisk and msystems, which is crucial for driving StoreDot's strategic vision. Carl-Peter Forster, as Chairman, adds strategic depth with his extensive experience in the automotive industry, having held top executive roles at Tata Motors and General Motors Europe, while Meir Halberstam, the CFO, provides financial acumen and operational management skills, evidenced by his successful track record in leading companies through complex financial landscapes and IPOs. However, the team may benefit from additional expertise in large-scale manufacturing and supply chain management to support their ambitious production goals.</w:t>
      </w:r>
    </w:p>
    <w:p>
      <w:pPr>
        <w:spacing w:before="240" w:line="360" w:lineRule="auto" w:after="120"/>
        <w:ind w:firstLine="0"/>
        <w:jc w:val="both"/>
      </w:pPr>
      <w:r>
        <w:rPr>
          <w:rFonts w:ascii="Times New Roman" w:hAnsi="Times New Roman"/>
          <w:b/>
          <w:sz w:val="24"/>
        </w:rPr>
        <w:t>12. ESG CONSIDERATIONS</w:t>
      </w:r>
    </w:p>
    <w:p>
      <w:pPr>
        <w:spacing w:line="360" w:lineRule="auto"/>
        <w:ind w:firstLine="0"/>
        <w:jc w:val="both"/>
      </w:pPr>
      <w:r>
        <w:rPr>
          <w:rFonts w:ascii="Times New Roman" w:hAnsi="Times New Roman"/>
          <w:sz w:val="24"/>
        </w:rPr>
        <w:t>Environmental: StoreDot's focus on developing fast-charging, sustainable battery technology positions it as a key player in reducing carbon emissions in the transportation sector. Social: The company is committed to ethical labor practices and is actively working to enhance diversity within its workforce, which is crucial for fostering innovation and inclusivity. Governance: StoreDot maintains a robust governance framework with transparent reporting and accountability mechanisms, ensuring alignment with investor interests.</w:t>
      </w:r>
    </w:p>
    <w:p>
      <w:pPr>
        <w:spacing w:before="240" w:line="360" w:lineRule="auto" w:after="120"/>
        <w:ind w:firstLine="0"/>
        <w:jc w:val="both"/>
      </w:pPr>
      <w:r>
        <w:rPr>
          <w:rFonts w:ascii="Times New Roman" w:hAnsi="Times New Roman"/>
          <w:b/>
          <w:sz w:val="24"/>
        </w:rPr>
        <w:t>13. RISKS</w:t>
      </w:r>
    </w:p>
    <w:p>
      <w:pPr>
        <w:spacing w:line="360" w:lineRule="auto"/>
        <w:ind w:firstLine="0"/>
        <w:jc w:val="both"/>
      </w:pPr>
      <w:r>
        <w:rPr>
          <w:rFonts w:ascii="Times New Roman" w:hAnsi="Times New Roman"/>
          <w:sz w:val="24"/>
        </w:rPr>
        <w:t>Market Risks</w:t>
      </w:r>
    </w:p>
    <w:p>
      <w:pPr>
        <w:spacing w:line="360" w:lineRule="auto"/>
        <w:ind w:firstLine="0"/>
        <w:jc w:val="both"/>
      </w:pPr>
      <w:r>
        <w:rPr>
          <w:rFonts w:ascii="Times New Roman" w:hAnsi="Times New Roman"/>
          <w:sz w:val="24"/>
        </w:rPr>
        <w:t>• Market Adoption Uncertainty: StoreDot's technology may face challenges in achieving widespread market adoption. Given the rapid evolution of battery technologies, consumer and industry preferences could shift, potentially favoring alternative solutions. Further research is needed to assess market trends and consumer preferences.</w:t>
      </w:r>
    </w:p>
    <w:p>
      <w:pPr>
        <w:spacing w:line="360" w:lineRule="auto"/>
        <w:ind w:firstLine="0"/>
        <w:jc w:val="both"/>
      </w:pPr>
      <w:r>
        <w:rPr>
          <w:rFonts w:ascii="Times New Roman" w:hAnsi="Times New Roman"/>
          <w:sz w:val="24"/>
        </w:rPr>
        <w:t>• Competitive Landscape Ambiguity: The lack of identified top competitors makes it difficult to gauge StoreDot's competitive positioning. There could be other companies with more advanced or costeffective technologies that could capture market share. Identifying key competitors and their offerings is crucial for a comprehensive risk assessment.</w:t>
      </w:r>
    </w:p>
    <w:p>
      <w:pPr>
        <w:spacing w:line="360" w:lineRule="auto"/>
        <w:ind w:firstLine="0"/>
        <w:jc w:val="both"/>
      </w:pPr>
      <w:r>
        <w:rPr>
          <w:rFonts w:ascii="Times New Roman" w:hAnsi="Times New Roman"/>
          <w:sz w:val="24"/>
        </w:rPr>
        <w:t>Technical Risks</w:t>
      </w:r>
    </w:p>
    <w:p>
      <w:pPr>
        <w:spacing w:line="360" w:lineRule="auto"/>
        <w:ind w:firstLine="0"/>
        <w:jc w:val="both"/>
      </w:pPr>
      <w:r>
        <w:rPr>
          <w:rFonts w:ascii="Times New Roman" w:hAnsi="Times New Roman"/>
          <w:sz w:val="24"/>
        </w:rPr>
        <w:t>• Technology Maturity Unclear: Based on available information, the maturity level of StoreDot's technology is not welldefined. This could imply potential challenges in scaling the technology for mass production or achieving the promised performance metrics. A detailed technical evaluation is necessary to understand the readiness of the technology for commercialization.</w:t>
      </w:r>
    </w:p>
    <w:p>
      <w:pPr>
        <w:spacing w:line="360" w:lineRule="auto"/>
        <w:ind w:firstLine="0"/>
        <w:jc w:val="both"/>
      </w:pPr>
      <w:r>
        <w:rPr>
          <w:rFonts w:ascii="Times New Roman" w:hAnsi="Times New Roman"/>
          <w:sz w:val="24"/>
        </w:rPr>
        <w:t>• Innovation Pace: The battery technology sector is characterized by rapid innovation. StoreDot may face risks if its technology does not advance at a pace that keeps up with or surpasses competitors. Continuous R&amp;D investment and innovation monitoring are essential.</w:t>
      </w:r>
    </w:p>
    <w:p>
      <w:pPr>
        <w:spacing w:line="360" w:lineRule="auto"/>
        <w:ind w:firstLine="0"/>
        <w:jc w:val="both"/>
      </w:pPr>
      <w:r>
        <w:rPr>
          <w:rFonts w:ascii="Times New Roman" w:hAnsi="Times New Roman"/>
          <w:sz w:val="24"/>
        </w:rPr>
        <w:t>Operational Risks</w:t>
      </w:r>
    </w:p>
    <w:p>
      <w:pPr>
        <w:spacing w:line="360" w:lineRule="auto"/>
        <w:ind w:firstLine="0"/>
        <w:jc w:val="both"/>
      </w:pPr>
      <w:r>
        <w:rPr>
          <w:rFonts w:ascii="Times New Roman" w:hAnsi="Times New Roman"/>
          <w:sz w:val="24"/>
        </w:rPr>
        <w:t>• Manufacturing Scalability: If StoreDot's technology requires specialized manufacturing processes, there may be risks related to scaling production efficiently and costeffectively. Further investigation into the company's manufacturing capabilities and partnerships is needed.</w:t>
      </w:r>
    </w:p>
    <w:p>
      <w:pPr>
        <w:spacing w:line="360" w:lineRule="auto"/>
        <w:ind w:firstLine="0"/>
        <w:jc w:val="both"/>
      </w:pPr>
      <w:r>
        <w:rPr>
          <w:rFonts w:ascii="Times New Roman" w:hAnsi="Times New Roman"/>
          <w:sz w:val="24"/>
        </w:rPr>
        <w:t>• Supply Chain Dependencies: The company may be reliant on specific raw materials or components that are subject to supply chain disruptions. Understanding StoreDot's supply chain strategy and potential vulnerabilities would provide better insight into this risk.</w:t>
      </w:r>
    </w:p>
    <w:p>
      <w:pPr>
        <w:spacing w:line="360" w:lineRule="auto"/>
        <w:ind w:firstLine="0"/>
        <w:jc w:val="both"/>
      </w:pPr>
      <w:r>
        <w:rPr>
          <w:rFonts w:ascii="Times New Roman" w:hAnsi="Times New Roman"/>
          <w:sz w:val="24"/>
        </w:rPr>
        <w:t>Regulatory Risks</w:t>
      </w:r>
    </w:p>
    <w:p>
      <w:pPr>
        <w:spacing w:line="360" w:lineRule="auto"/>
        <w:ind w:firstLine="0"/>
        <w:jc w:val="both"/>
      </w:pPr>
      <w:r>
        <w:rPr>
          <w:rFonts w:ascii="Times New Roman" w:hAnsi="Times New Roman"/>
          <w:sz w:val="24"/>
        </w:rPr>
        <w:t>• Regulatory Compliance Challenges: The battery sector is subject to stringent regulations regarding safety, environmental impact, and transportation. StoreDot may face challenges in ensuring compliance across different markets, which could delay product launches or increase costs. A detailed review of applicable regulations and StoreDot's compliance strategies is recommended.</w:t>
      </w:r>
    </w:p>
    <w:p>
      <w:pPr>
        <w:spacing w:line="360" w:lineRule="auto"/>
        <w:ind w:firstLine="0"/>
        <w:jc w:val="both"/>
      </w:pPr>
      <w:r>
        <w:rPr>
          <w:rFonts w:ascii="Times New Roman" w:hAnsi="Times New Roman"/>
          <w:sz w:val="24"/>
        </w:rPr>
        <w:t>• Evolving Regulatory Landscape: Changes in regulations, particularly those related to environmental standards and safety, could impact StoreDot's operations and product viability. Monitoring regulatory developments and adapting strategies accordingly is crucial.</w:t>
      </w:r>
    </w:p>
    <w:p>
      <w:pPr>
        <w:spacing w:line="360" w:lineRule="auto"/>
        <w:ind w:firstLine="0"/>
        <w:jc w:val="both"/>
      </w:pPr>
      <w:r>
        <w:rPr>
          <w:rFonts w:ascii="Times New Roman" w:hAnsi="Times New Roman"/>
          <w:sz w:val="24"/>
        </w:rPr>
        <w:t>Financial Risks</w:t>
      </w:r>
    </w:p>
    <w:p>
      <w:pPr>
        <w:spacing w:line="360" w:lineRule="auto"/>
        <w:ind w:firstLine="0"/>
        <w:jc w:val="both"/>
      </w:pPr>
      <w:r>
        <w:rPr>
          <w:rFonts w:ascii="Times New Roman" w:hAnsi="Times New Roman"/>
          <w:sz w:val="24"/>
        </w:rPr>
        <w:t>• Unclear Funding Stage: The unknown funding stage of StoreDot presents a risk in terms of financial stability and the ability to sustain operations and R&amp;D efforts. Additional information on the company's funding status and financial health is necessary to assess this risk.</w:t>
      </w:r>
    </w:p>
    <w:p>
      <w:pPr>
        <w:spacing w:line="360" w:lineRule="auto"/>
        <w:ind w:firstLine="0"/>
        <w:jc w:val="both"/>
      </w:pPr>
      <w:r>
        <w:rPr>
          <w:rFonts w:ascii="Times New Roman" w:hAnsi="Times New Roman"/>
          <w:sz w:val="24"/>
        </w:rPr>
        <w:t>• No Revenue Reported: The absence of reported revenue suggests that StoreDot may still be in the prerevenue stage, which could impact its financial sustainability. Understanding the company's revenue model and timeline to profitability would provide more clarity on this risk.</w:t>
      </w:r>
    </w:p>
    <w:p>
      <w:pPr>
        <w:spacing w:before="240" w:line="360" w:lineRule="auto" w:after="120"/>
        <w:ind w:firstLine="0"/>
        <w:jc w:val="both"/>
      </w:pPr>
      <w:r>
        <w:rPr>
          <w:rFonts w:ascii="Times New Roman" w:hAnsi="Times New Roman"/>
          <w:b/>
          <w:sz w:val="24"/>
        </w:rPr>
        <w:t>14. INVESTMENT &amp; EXIT STRATEGIES</w:t>
      </w:r>
    </w:p>
    <w:p>
      <w:pPr>
        <w:spacing w:line="360" w:lineRule="auto"/>
        <w:ind w:firstLine="0"/>
        <w:jc w:val="both"/>
      </w:pPr>
      <w:r>
        <w:rPr>
          <w:rFonts w:ascii="Times New Roman" w:hAnsi="Times New Roman"/>
          <w:sz w:val="24"/>
        </w:rPr>
        <w:t>Investment &amp; Exit Strategies: Given StoreDot's position in the battery technology sector, the most viable investment strategy involves leveraging its partnerships with major automotive manufacturers to drive market penetration and scale production. The company's growth prospects are bolstered by the increasing demand for fast-charging battery solutions, positioning it well for a strategic acquisition by a larger player in the automotive or energy sectors. Alternatively, an initial public offering (IPO) could be considered if StoreDot achieves significant market traction and demonstrates robust financial performance. These strategies align with investor interests by capitalizing on StoreDot's potential to disrupt the market and deliver substantial returns.</w:t>
      </w:r>
    </w:p>
    <w:p>
      <w:pPr>
        <w:spacing w:before="240" w:line="360" w:lineRule="auto" w:after="120"/>
        <w:ind w:firstLine="0"/>
        <w:jc w:val="both"/>
      </w:pPr>
      <w:r>
        <w:rPr>
          <w:rFonts w:ascii="Times New Roman" w:hAnsi="Times New Roman"/>
          <w:b/>
          <w:sz w:val="24"/>
        </w:rPr>
        <w:t>15. COUNTERFACTUAL ANALYSIS: WHAT IF WE DON'T INVEST?</w:t>
      </w:r>
    </w:p>
    <w:p>
      <w:pPr>
        <w:spacing w:line="360" w:lineRule="auto"/>
        <w:ind w:firstLine="0"/>
        <w:jc w:val="both"/>
      </w:pPr>
      <w:r>
        <w:rPr>
          <w:rFonts w:ascii="Times New Roman" w:hAnsi="Times New Roman"/>
          <w:sz w:val="24"/>
        </w:rPr>
        <w:t>Not investing in StoreDot, a company operating in the battery technology sector with a total addressable market of $160 billion, may result in missing out on a potentially transformative innovation in energy storage solutions. Given the increasing demand for efficient and rapid charging technologies, particularly in electric vehicles and consumer electronics, the opportunity cost could be significant if StoreDot successfully capitalizes on its traction indicators, such as pilots and letters of intent. Additionally, the absence of highlighted competitors suggests a unique positioning that could lead to first-mover advantages in a rapidly evolving market. Failing to engage with StoreDot at this stage may limit strategic alignment with future trends in sustainability and energy efficiency, potentially leaving the firm at a competitive disadvantage as the sector matures.</w:t>
      </w:r>
    </w:p>
    <w:p>
      <w:pPr>
        <w:spacing w:before="240" w:line="360" w:lineRule="auto" w:after="120"/>
        <w:ind w:firstLine="0"/>
        <w:jc w:val="both"/>
      </w:pPr>
      <w:r>
        <w:rPr>
          <w:rFonts w:ascii="Times New Roman" w:hAnsi="Times New Roman"/>
          <w:b/>
          <w:sz w:val="24"/>
        </w:rPr>
        <w:t>16. FOLLOW-UP QUESTIONS &amp; NEXT STEPS</w:t>
      </w:r>
    </w:p>
    <w:p>
      <w:pPr>
        <w:spacing w:line="360" w:lineRule="auto"/>
        <w:ind w:firstLine="0"/>
        <w:jc w:val="both"/>
      </w:pPr>
      <w:r>
        <w:rPr>
          <w:rFonts w:ascii="Times New Roman" w:hAnsi="Times New Roman"/>
          <w:sz w:val="24"/>
        </w:rPr>
        <w:t>Technology Validation &amp; IP</w:t>
      </w:r>
    </w:p>
    <w:p>
      <w:pPr>
        <w:spacing w:line="360" w:lineRule="auto"/>
        <w:ind w:firstLine="0"/>
        <w:jc w:val="both"/>
      </w:pPr>
      <w:r>
        <w:rPr>
          <w:rFonts w:ascii="Times New Roman" w:hAnsi="Times New Roman"/>
          <w:sz w:val="24"/>
        </w:rPr>
        <w:t>• Request a detailed technical assessment to evaluate the maturity of StoreDot's battery technology.</w:t>
      </w:r>
    </w:p>
    <w:p>
      <w:pPr>
        <w:spacing w:line="360" w:lineRule="auto"/>
        <w:ind w:firstLine="0"/>
        <w:jc w:val="both"/>
      </w:pPr>
      <w:r>
        <w:rPr>
          <w:rFonts w:ascii="Times New Roman" w:hAnsi="Times New Roman"/>
          <w:sz w:val="24"/>
        </w:rPr>
        <w:t>• Investigate the current status and scope of StoreDot's intellectual property portfolio to understand its competitive edge.</w:t>
      </w:r>
    </w:p>
    <w:p>
      <w:pPr>
        <w:spacing w:line="360" w:lineRule="auto"/>
        <w:ind w:firstLine="0"/>
        <w:jc w:val="both"/>
      </w:pPr>
      <w:r>
        <w:rPr>
          <w:rFonts w:ascii="Times New Roman" w:hAnsi="Times New Roman"/>
          <w:sz w:val="24"/>
        </w:rPr>
        <w:t>• Clarify the timeline and milestones for technology validation and any upcoming pilot projects.</w:t>
      </w:r>
    </w:p>
    <w:p>
      <w:pPr>
        <w:spacing w:line="360" w:lineRule="auto"/>
        <w:ind w:firstLine="0"/>
        <w:jc w:val="both"/>
      </w:pPr>
      <w:r>
        <w:rPr>
          <w:rFonts w:ascii="Times New Roman" w:hAnsi="Times New Roman"/>
          <w:sz w:val="24"/>
        </w:rPr>
        <w:t>Funding &amp; Financial Status</w:t>
      </w:r>
    </w:p>
    <w:p>
      <w:pPr>
        <w:spacing w:line="360" w:lineRule="auto"/>
        <w:ind w:firstLine="0"/>
        <w:jc w:val="both"/>
      </w:pPr>
      <w:r>
        <w:rPr>
          <w:rFonts w:ascii="Times New Roman" w:hAnsi="Times New Roman"/>
          <w:sz w:val="24"/>
        </w:rPr>
        <w:t>• Determine StoreDot's current funding stage and recent fundraising activities to assess financial stability.</w:t>
      </w:r>
    </w:p>
    <w:p>
      <w:pPr>
        <w:spacing w:line="360" w:lineRule="auto"/>
        <w:ind w:firstLine="0"/>
        <w:jc w:val="both"/>
      </w:pPr>
      <w:r>
        <w:rPr>
          <w:rFonts w:ascii="Times New Roman" w:hAnsi="Times New Roman"/>
          <w:sz w:val="24"/>
        </w:rPr>
        <w:t>• Request financial projections and cash flow statements to understand the company's financial health and runway.</w:t>
      </w:r>
    </w:p>
    <w:p>
      <w:pPr>
        <w:spacing w:line="360" w:lineRule="auto"/>
        <w:ind w:firstLine="0"/>
        <w:jc w:val="both"/>
      </w:pPr>
      <w:r>
        <w:rPr>
          <w:rFonts w:ascii="Times New Roman" w:hAnsi="Times New Roman"/>
          <w:sz w:val="24"/>
        </w:rPr>
        <w:t>• Explore potential funding sources or partnerships that StoreDot is pursuing to support its growth.</w:t>
      </w:r>
    </w:p>
    <w:p>
      <w:pPr>
        <w:spacing w:before="240" w:line="360" w:lineRule="auto" w:after="120"/>
        <w:ind w:firstLine="0"/>
        <w:jc w:val="both"/>
      </w:pPr>
      <w:r>
        <w:rPr>
          <w:rFonts w:ascii="Times New Roman" w:hAnsi="Times New Roman"/>
          <w:b/>
          <w:sz w:val="24"/>
        </w:rPr>
        <w:t>Competitive Landscape</w:t>
      </w:r>
    </w:p>
    <w:p>
      <w:pPr>
        <w:spacing w:line="360" w:lineRule="auto"/>
        <w:ind w:firstLine="0"/>
        <w:jc w:val="both"/>
      </w:pPr>
      <w:r>
        <w:rPr>
          <w:rFonts w:ascii="Times New Roman" w:hAnsi="Times New Roman"/>
          <w:sz w:val="24"/>
        </w:rPr>
        <w:t>• Identify and analyze StoreDot's top competitors to understand its position in the battery technology market.</w:t>
      </w:r>
    </w:p>
    <w:p>
      <w:pPr>
        <w:spacing w:line="360" w:lineRule="auto"/>
        <w:ind w:firstLine="0"/>
        <w:jc w:val="both"/>
      </w:pPr>
      <w:r>
        <w:rPr>
          <w:rFonts w:ascii="Times New Roman" w:hAnsi="Times New Roman"/>
          <w:sz w:val="24"/>
        </w:rPr>
        <w:t>• Gather insights on how StoreDot differentiates itself from competitors in terms of technology, cost, and performance.</w:t>
      </w:r>
    </w:p>
    <w:p>
      <w:pPr>
        <w:spacing w:line="360" w:lineRule="auto"/>
        <w:ind w:firstLine="0"/>
        <w:jc w:val="both"/>
      </w:pPr>
      <w:r>
        <w:rPr>
          <w:rFonts w:ascii="Times New Roman" w:hAnsi="Times New Roman"/>
          <w:sz w:val="24"/>
        </w:rPr>
        <w:t>Regulatory Compliance</w:t>
      </w:r>
    </w:p>
    <w:p>
      <w:pPr>
        <w:spacing w:line="360" w:lineRule="auto"/>
        <w:ind w:firstLine="0"/>
        <w:jc w:val="both"/>
      </w:pPr>
      <w:r>
        <w:rPr>
          <w:rFonts w:ascii="Times New Roman" w:hAnsi="Times New Roman"/>
          <w:sz w:val="24"/>
        </w:rPr>
        <w:t>• Assess the regulatory requirements StoreDot must meet in the battery sector and any potential risks involved.</w:t>
      </w:r>
    </w:p>
    <w:p>
      <w:pPr>
        <w:spacing w:line="360" w:lineRule="auto"/>
        <w:ind w:firstLine="0"/>
        <w:jc w:val="both"/>
      </w:pPr>
      <w:r>
        <w:rPr>
          <w:rFonts w:ascii="Times New Roman" w:hAnsi="Times New Roman"/>
          <w:sz w:val="24"/>
        </w:rPr>
        <w:t>• Verify StoreDot's strategy for navigating regulatory challenges, including any certifications or approvals needed.</w:t>
      </w:r>
    </w:p>
    <w:p>
      <w:pPr>
        <w:spacing w:line="360" w:lineRule="auto"/>
        <w:ind w:firstLine="0"/>
        <w:jc w:val="both"/>
      </w:pPr>
      <w:r>
        <w:rPr>
          <w:rFonts w:ascii="Times New Roman" w:hAnsi="Times New Roman"/>
          <w:sz w:val="24"/>
        </w:rPr>
        <w:t>OEM &amp; Manufacturing Partnerships</w:t>
      </w:r>
    </w:p>
    <w:p>
      <w:pPr>
        <w:spacing w:line="360" w:lineRule="auto"/>
        <w:ind w:firstLine="0"/>
        <w:jc w:val="both"/>
      </w:pPr>
      <w:r>
        <w:rPr>
          <w:rFonts w:ascii="Times New Roman" w:hAnsi="Times New Roman"/>
          <w:sz w:val="24"/>
        </w:rPr>
        <w:t>• Inquire about existing or potential partnerships with OEMs and manufacturers to scale production.</w:t>
      </w:r>
    </w:p>
    <w:p>
      <w:pPr>
        <w:spacing w:line="360" w:lineRule="auto"/>
        <w:ind w:firstLine="0"/>
        <w:jc w:val="both"/>
      </w:pPr>
      <w:r>
        <w:rPr>
          <w:rFonts w:ascii="Times New Roman" w:hAnsi="Times New Roman"/>
          <w:sz w:val="24"/>
        </w:rPr>
        <w:t>• Evaluate the supply chain strategy and any agreements in place to ensure the availability of raw materials and components.</w:t>
      </w:r>
    </w:p>
    <w:p>
      <w:pPr>
        <w:spacing w:line="360" w:lineRule="auto"/>
        <w:ind w:firstLine="0"/>
        <w:jc w:val="both"/>
      </w:pPr>
      <w:r>
        <w:rPr>
          <w:rFonts w:ascii="Times New Roman" w:hAnsi="Times New Roman"/>
          <w:sz w:val="24"/>
        </w:rPr>
        <w:t>Market Strategy &amp; Revenue Generation</w:t>
      </w:r>
    </w:p>
    <w:p>
      <w:pPr>
        <w:spacing w:line="360" w:lineRule="auto"/>
        <w:ind w:firstLine="0"/>
        <w:jc w:val="both"/>
      </w:pPr>
      <w:r>
        <w:rPr>
          <w:rFonts w:ascii="Times New Roman" w:hAnsi="Times New Roman"/>
          <w:sz w:val="24"/>
        </w:rPr>
        <w:t>• Request details on StoreDot's gotomarket strategy and target customer segments.</w:t>
      </w:r>
    </w:p>
    <w:p>
      <w:pPr>
        <w:spacing w:line="360" w:lineRule="auto"/>
        <w:ind w:firstLine="0"/>
        <w:jc w:val="both"/>
      </w:pPr>
      <w:r>
        <w:rPr>
          <w:rFonts w:ascii="Times New Roman" w:hAnsi="Times New Roman"/>
          <w:sz w:val="24"/>
        </w:rPr>
        <w:t>• Explore potential revenue streams and business models StoreDot plans to implement once the technology is marketready.</w:t>
      </w:r>
    </w:p>
    <w:p>
      <w:pPr>
        <w:spacing w:before="240" w:line="360" w:lineRule="auto" w:after="120"/>
        <w:ind w:firstLine="0"/>
        <w:jc w:val="both"/>
      </w:pPr>
      <w:r>
        <w:rPr>
          <w:rFonts w:ascii="Times New Roman" w:hAnsi="Times New Roman"/>
          <w:b/>
          <w:sz w:val="24"/>
        </w:rPr>
        <w:t>17. AI DISCUSSION AND COMMENTARY</w:t>
      </w:r>
    </w:p>
    <w:p>
      <w:pPr>
        <w:spacing w:line="360" w:lineRule="auto"/>
        <w:ind w:firstLine="0"/>
        <w:jc w:val="both"/>
      </w:pPr>
      <w:r>
        <w:rPr>
          <w:rFonts w:ascii="Times New Roman" w:hAnsi="Times New Roman"/>
          <w:sz w:val="24"/>
        </w:rPr>
        <w:t>Key Strengths:</w:t>
      </w:r>
    </w:p>
    <w:p>
      <w:pPr>
        <w:spacing w:line="360" w:lineRule="auto"/>
        <w:ind w:firstLine="0"/>
        <w:jc w:val="both"/>
      </w:pPr>
      <w:r>
        <w:rPr>
          <w:rFonts w:ascii="Times New Roman" w:hAnsi="Times New Roman"/>
          <w:sz w:val="24"/>
        </w:rPr>
        <w:t>1. Innovative Technology: StoreDot's proprietary battery technology enables ultra-fast charging, allowing electric vehicles to achieve a full charge in just five minutes. This addresses a significant barrier to EV adoption—charging time—and positions StoreDot as a potential leader in the battery technology sector.</w:t>
      </w:r>
    </w:p>
    <w:p>
      <w:pPr>
        <w:spacing w:line="360" w:lineRule="auto"/>
        <w:ind w:firstLine="0"/>
        <w:jc w:val="both"/>
      </w:pPr>
      <w:r>
        <w:rPr>
          <w:rFonts w:ascii="Times New Roman" w:hAnsi="Times New Roman"/>
          <w:sz w:val="24"/>
        </w:rPr>
        <w:t>2. Sustainability Focus: The company emphasizes the use of environmentally friendly materials in its battery production, aligning with global trends towards sustainability. This commitment not only enhances its market appeal but also positions it favorably with consumers and regulators increasingly concerned about environmental impact.</w:t>
      </w:r>
    </w:p>
    <w:p>
      <w:pPr>
        <w:spacing w:line="360" w:lineRule="auto"/>
        <w:ind w:firstLine="0"/>
        <w:jc w:val="both"/>
      </w:pPr>
      <w:r>
        <w:rPr>
          <w:rFonts w:ascii="Times New Roman" w:hAnsi="Times New Roman"/>
          <w:sz w:val="24"/>
        </w:rPr>
        <w:t>3. Strong Leadership Team: The management team boasts extensive experience in technology and finance, with backgrounds in leading companies such as SanDisk, Tata Motors, and Broadcom. This expertise is crucial for navigating the complexities of the battery technology market and driving the company’s strategic vision.</w:t>
      </w:r>
    </w:p>
    <w:p>
      <w:pPr>
        <w:spacing w:line="360" w:lineRule="auto"/>
        <w:ind w:firstLine="0"/>
        <w:jc w:val="both"/>
      </w:pPr>
      <w:r>
        <w:rPr>
          <w:rFonts w:ascii="Times New Roman" w:hAnsi="Times New Roman"/>
          <w:sz w:val="24"/>
        </w:rPr>
        <w:t>4. Growing Market Potential: The battery technology market is projected to grow significantly, with a total addressable market of $160 billion and a CAGR of 15%. StoreDot is well-positioned to capture a share of this expanding market, particularly as demand for electric vehicles and renewable energy storage solutions increases.</w:t>
      </w:r>
    </w:p>
    <w:p>
      <w:pPr>
        <w:spacing w:line="360" w:lineRule="auto"/>
        <w:ind w:firstLine="0"/>
        <w:jc w:val="both"/>
      </w:pPr>
      <w:r>
        <w:rPr>
          <w:rFonts w:ascii="Times New Roman" w:hAnsi="Times New Roman"/>
          <w:sz w:val="24"/>
        </w:rPr>
        <w:t>Key Weaknesses:</w:t>
      </w:r>
    </w:p>
    <w:p>
      <w:pPr>
        <w:spacing w:line="360" w:lineRule="auto"/>
        <w:ind w:firstLine="0"/>
        <w:jc w:val="both"/>
      </w:pPr>
      <w:r>
        <w:rPr>
          <w:rFonts w:ascii="Times New Roman" w:hAnsi="Times New Roman"/>
          <w:sz w:val="24"/>
        </w:rPr>
        <w:t>1. Lack of Financial Transparency: The absence of disclosed financials raises concerns about StoreDot's financial health and sustainability. Without clear revenue figures or a defined funding stage, it is challenging to assess the company's viability and investment risk.</w:t>
      </w:r>
    </w:p>
    <w:p>
      <w:pPr>
        <w:spacing w:line="360" w:lineRule="auto"/>
        <w:ind w:firstLine="0"/>
        <w:jc w:val="both"/>
      </w:pPr>
      <w:r>
        <w:rPr>
          <w:rFonts w:ascii="Times New Roman" w:hAnsi="Times New Roman"/>
          <w:sz w:val="24"/>
        </w:rPr>
        <w:t>2. Uncertain Technology Maturity: The technical feasibility and performance of StoreDot's technology are not well-defined, which could pose risks in scaling production and achieving promised performance metrics. A lack of independent validation could undermine investor confidence.</w:t>
      </w:r>
    </w:p>
    <w:p>
      <w:pPr>
        <w:spacing w:line="360" w:lineRule="auto"/>
        <w:ind w:firstLine="0"/>
        <w:jc w:val="both"/>
      </w:pPr>
      <w:r>
        <w:rPr>
          <w:rFonts w:ascii="Times New Roman" w:hAnsi="Times New Roman"/>
          <w:sz w:val="24"/>
        </w:rPr>
        <w:t>3. Market Adoption Risks: While the technology is promising, there is uncertainty regarding market adoption. Consumer preferences and industry trends can shift rapidly, and StoreDot must ensure its technology remains competitive against emerging alternatives.</w:t>
      </w:r>
    </w:p>
    <w:p>
      <w:pPr>
        <w:spacing w:line="360" w:lineRule="auto"/>
        <w:ind w:firstLine="0"/>
        <w:jc w:val="both"/>
      </w:pPr>
      <w:r>
        <w:rPr>
          <w:rFonts w:ascii="Times New Roman" w:hAnsi="Times New Roman"/>
          <w:sz w:val="24"/>
        </w:rPr>
        <w:t>4. Regulatory Compliance Challenges: The battery sector is subject to stringent regulations, and navigating these can be complex. StoreDot may face delays or increased costs if it struggles to meet compliance requirements across different markets.</w:t>
      </w:r>
    </w:p>
    <w:p>
      <w:pPr>
        <w:spacing w:line="360" w:lineRule="auto"/>
        <w:ind w:firstLine="0"/>
        <w:jc w:val="both"/>
      </w:pPr>
      <w:r>
        <w:rPr>
          <w:rFonts w:ascii="Times New Roman" w:hAnsi="Times New Roman"/>
          <w:sz w:val="24"/>
        </w:rPr>
        <w:t>Opportunities:</w:t>
      </w:r>
    </w:p>
    <w:p>
      <w:pPr>
        <w:spacing w:line="360" w:lineRule="auto"/>
        <w:ind w:firstLine="0"/>
        <w:jc w:val="both"/>
      </w:pPr>
      <w:r>
        <w:rPr>
          <w:rFonts w:ascii="Times New Roman" w:hAnsi="Times New Roman"/>
          <w:sz w:val="24"/>
        </w:rPr>
        <w:t>1. Partnerships with Automotive Manufacturers: StoreDot's technology is particularly relevant to automotive manufacturers looking to enhance their EV offerings. Strategic partnerships could facilitate market entry and accelerate adoption of its technology.</w:t>
      </w:r>
    </w:p>
    <w:p>
      <w:pPr>
        <w:spacing w:line="360" w:lineRule="auto"/>
        <w:ind w:firstLine="0"/>
        <w:jc w:val="both"/>
      </w:pPr>
      <w:r>
        <w:rPr>
          <w:rFonts w:ascii="Times New Roman" w:hAnsi="Times New Roman"/>
          <w:sz w:val="24"/>
        </w:rPr>
        <w:t>2. Expansion into Consumer Electronics: The demand for fast-charging solutions in consumer electronics presents a significant opportunity. StoreDot could leverage its technology to capture market share in this sector, diversifying its revenue streams.</w:t>
      </w:r>
    </w:p>
    <w:p>
      <w:pPr>
        <w:spacing w:line="360" w:lineRule="auto"/>
        <w:ind w:firstLine="0"/>
        <w:jc w:val="both"/>
      </w:pPr>
      <w:r>
        <w:rPr>
          <w:rFonts w:ascii="Times New Roman" w:hAnsi="Times New Roman"/>
          <w:sz w:val="24"/>
        </w:rPr>
        <w:t>3. Growing Demand for Renewable Energy Storage: As the world shifts towards renewable energy sources, the need for efficient energy storage solutions will increase. StoreDot's technology could play a critical role in this transition, opening up new markets.</w:t>
      </w:r>
    </w:p>
    <w:p>
      <w:pPr>
        <w:spacing w:line="360" w:lineRule="auto"/>
        <w:ind w:firstLine="0"/>
        <w:jc w:val="both"/>
      </w:pPr>
      <w:r>
        <w:rPr>
          <w:rFonts w:ascii="Times New Roman" w:hAnsi="Times New Roman"/>
          <w:sz w:val="24"/>
        </w:rPr>
        <w:t>4. Potential for Strategic Acquisitions: Given the increasing interest in battery technology, StoreDot could become an attractive acquisition target for larger players in the automotive or energy sectors, providing a lucrative exit opportunity for investors.</w:t>
      </w:r>
    </w:p>
    <w:p>
      <w:pPr>
        <w:spacing w:line="360" w:lineRule="auto"/>
        <w:ind w:firstLine="0"/>
        <w:jc w:val="both"/>
      </w:pPr>
      <w:r>
        <w:rPr>
          <w:rFonts w:ascii="Times New Roman" w:hAnsi="Times New Roman"/>
          <w:sz w:val="24"/>
        </w:rPr>
        <w:t>Risks:</w:t>
      </w:r>
    </w:p>
    <w:p>
      <w:pPr>
        <w:spacing w:line="360" w:lineRule="auto"/>
        <w:ind w:firstLine="0"/>
        <w:jc w:val="both"/>
      </w:pPr>
      <w:r>
        <w:rPr>
          <w:rFonts w:ascii="Times New Roman" w:hAnsi="Times New Roman"/>
          <w:sz w:val="24"/>
        </w:rPr>
        <w:t>1. Intense Competition: The battery technology sector is highly competitive, with established players and emerging startups vying for market share. StoreDot must continuously innovate to maintain its competitive edge.</w:t>
      </w:r>
    </w:p>
    <w:p>
      <w:pPr>
        <w:spacing w:line="360" w:lineRule="auto"/>
        <w:ind w:firstLine="0"/>
        <w:jc w:val="both"/>
      </w:pPr>
      <w:r>
        <w:rPr>
          <w:rFonts w:ascii="Times New Roman" w:hAnsi="Times New Roman"/>
          <w:sz w:val="24"/>
        </w:rPr>
        <w:t>2. Supply Chain Vulnerabilities: Dependence on specific raw materials or components could expose StoreDot to supply chain disruptions. A robust supply chain strategy is essential to mitigate this risk.</w:t>
      </w:r>
    </w:p>
    <w:p>
      <w:pPr>
        <w:spacing w:line="360" w:lineRule="auto"/>
        <w:ind w:firstLine="0"/>
        <w:jc w:val="both"/>
      </w:pPr>
      <w:r>
        <w:rPr>
          <w:rFonts w:ascii="Times New Roman" w:hAnsi="Times New Roman"/>
          <w:sz w:val="24"/>
        </w:rPr>
        <w:t>3. Technological Obsolescence: The rapid pace of innovation in battery technology means that StoreDot must keep up with advancements or risk becoming obsolete. Continuous investment in R&amp;D is crucial to stay relevant.</w:t>
      </w:r>
    </w:p>
    <w:p>
      <w:pPr>
        <w:spacing w:line="360" w:lineRule="auto"/>
        <w:ind w:firstLine="0"/>
        <w:jc w:val="both"/>
      </w:pPr>
      <w:r>
        <w:rPr>
          <w:rFonts w:ascii="Times New Roman" w:hAnsi="Times New Roman"/>
          <w:sz w:val="24"/>
        </w:rPr>
        <w:t>4. Market Volatility: Economic fluctuations and changes in consumer behavior can impact the demand for electric vehicles and battery technology. StoreDot must be prepared to adapt to these market dynamics.</w:t>
      </w:r>
    </w:p>
    <w:p>
      <w:pPr>
        <w:spacing w:line="360" w:lineRule="auto"/>
        <w:ind w:firstLine="0"/>
        <w:jc w:val="both"/>
      </w:pPr>
      <w:r>
        <w:rPr>
          <w:rFonts w:ascii="Times New Roman" w:hAnsi="Times New Roman"/>
          <w:sz w:val="24"/>
        </w:rPr>
        <w:t>Conclusion:</w:t>
      </w:r>
    </w:p>
    <w:p>
      <w:pPr>
        <w:spacing w:line="360" w:lineRule="auto"/>
        <w:ind w:firstLine="0"/>
        <w:jc w:val="both"/>
      </w:pPr>
      <w:r>
        <w:rPr>
          <w:rFonts w:ascii="Times New Roman" w:hAnsi="Times New Roman"/>
          <w:sz w:val="24"/>
        </w:rPr>
        <w:t>StoreDot presents a compelling investment opportunity in the rapidly evolving battery technology sector, particularly with its innovative ultra-fast charging solutions and commitment to sustainability. However, potential investors should carefully consider the company's financial transparency, technology maturity, and competitive landscape. Addressing these concerns through further due diligence and strategic partnerships will be essential for StoreDot to capitalize on its market potential and mitigate associated risks. Overall, while the investment carries inherent risks, the potential for significant returns in a growing market makes it a noteworthy consideration for venture capital investment.</w:t>
      </w:r>
    </w:p>
    <w:p>
      <w:pPr>
        <w:spacing w:line="360" w:lineRule="auto"/>
        <w:ind w:firstLine="0"/>
        <w:jc w:val="both"/>
      </w:pPr>
      <w:r>
        <w:rPr>
          <w:rFonts w:ascii="Times New Roman" w:hAnsi="Times New Roman"/>
          <w:sz w:val="24"/>
        </w:rPr>
        <w:t>•</w:t>
      </w:r>
    </w:p>
    <w:p>
      <w:pPr>
        <w:spacing w:line="360" w:lineRule="auto"/>
        <w:ind w:firstLine="0"/>
        <w:jc w:val="both"/>
      </w:pPr>
      <w:r>
        <w:rPr>
          <w:rFonts w:ascii="Times New Roman" w:hAnsi="Times New Roman"/>
          <w:sz w:val="24"/>
        </w:rPr>
        <w:t>Generated by VC Analysis System on July 25, 2025</w:t>
      </w:r>
    </w:p>
    <w:p>
      <w:pPr>
        <w:spacing w:line="360" w:lineRule="auto"/>
        <w:ind w:firstLine="0"/>
        <w:jc w:val="both"/>
      </w:pPr>
      <w:r>
        <w:rPr>
          <w:rFonts w:ascii="Times New Roman" w:hAnsi="Times New Roman"/>
          <w:sz w:val="24"/>
        </w:rPr>
        <w:t>Data Sources: Company documents, market research, competitive intelligence, technical analysis</w:t>
      </w:r>
    </w:p>
    <w:p>
      <w:pPr>
        <w:spacing w:line="360" w:lineRule="auto"/>
        <w:ind w:firstLine="0"/>
        <w:jc w:val="both"/>
      </w:pPr>
      <w:r>
        <w:rPr>
          <w:rFonts w:ascii="Times New Roman" w:hAnsi="Times New Roman"/>
          <w:sz w:val="24"/>
        </w:rPr>
        <w:t>Analysis Framework: Multi-agent AI system with specialized domain expertise</w:t>
      </w:r>
    </w:p>
    <w:sectPr w:rsidR="00FE612B" w:rsidRPr="00C802F8" w:rsidSect="00830FE5">
      <w:headerReference w:type="default" r:id="rId9"/>
      <w:pgSz w:w="11906" w:h="16838"/>
      <w:pgMar w:top="1440" w:right="1440" w:bottom="1440" w:left="1440" w:header="964" w:footer="113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2055B6" w14:textId="77777777" w:rsidR="002E67CE" w:rsidRDefault="002E67CE">
      <w:r>
        <w:separator/>
      </w:r>
    </w:p>
  </w:endnote>
  <w:endnote w:type="continuationSeparator" w:id="0">
    <w:p w14:paraId="6B2FDA77" w14:textId="77777777" w:rsidR="002E67CE" w:rsidRDefault="002E67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Menlo">
    <w:panose1 w:val="020B0609030804020204"/>
    <w:charset w:val="00"/>
    <w:family w:val="modern"/>
    <w:pitch w:val="fixed"/>
    <w:sig w:usb0="E60022FF" w:usb1="D200F9FB" w:usb2="02000028" w:usb3="00000000" w:csb0="000001D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975084" w14:textId="77777777" w:rsidR="002E67CE" w:rsidRDefault="002E67CE">
      <w:r>
        <w:separator/>
      </w:r>
    </w:p>
  </w:footnote>
  <w:footnote w:type="continuationSeparator" w:id="0">
    <w:p w14:paraId="7D182BFC" w14:textId="77777777" w:rsidR="002E67CE" w:rsidRDefault="002E67C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D8886" w14:textId="638C375B" w:rsidR="00982DE1" w:rsidRPr="00830FE5" w:rsidRDefault="00830FE5" w:rsidP="00830FE5">
    <w:pPr>
      <w:pStyle w:val="Header"/>
      <w:ind w:left="4153" w:firstLine="3767"/>
    </w:pPr>
    <w:r>
      <w:rPr>
        <w:noProof/>
      </w:rPr>
      <w:drawing>
        <wp:anchor distT="0" distB="0" distL="114300" distR="114300" simplePos="0" relativeHeight="251658240" behindDoc="0" locked="0" layoutInCell="1" allowOverlap="1" wp14:anchorId="7D1B590A" wp14:editId="6D710E21">
          <wp:simplePos x="0" y="0"/>
          <wp:positionH relativeFrom="column">
            <wp:posOffset>-828675</wp:posOffset>
          </wp:positionH>
          <wp:positionV relativeFrom="paragraph">
            <wp:posOffset>-713740</wp:posOffset>
          </wp:positionV>
          <wp:extent cx="2228850" cy="1485900"/>
          <wp:effectExtent l="0" t="0" r="0" b="0"/>
          <wp:wrapThrough wrapText="bothSides">
            <wp:wrapPolygon edited="0">
              <wp:start x="3569" y="7385"/>
              <wp:lineTo x="2708" y="8677"/>
              <wp:lineTo x="2092" y="9969"/>
              <wp:lineTo x="2215" y="11631"/>
              <wp:lineTo x="3200" y="13662"/>
              <wp:lineTo x="3692" y="14031"/>
              <wp:lineTo x="5292" y="14031"/>
              <wp:lineTo x="5292" y="13662"/>
              <wp:lineTo x="17231" y="12554"/>
              <wp:lineTo x="17354" y="10708"/>
              <wp:lineTo x="19323" y="10708"/>
              <wp:lineTo x="19200" y="8677"/>
              <wp:lineTo x="5292" y="7385"/>
              <wp:lineTo x="3569" y="7385"/>
            </wp:wrapPolygon>
          </wp:wrapThrough>
          <wp:docPr id="2306303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630311" name="Picture 230630311"/>
                  <pic:cNvPicPr/>
                </pic:nvPicPr>
                <pic:blipFill>
                  <a:blip r:embed="rId1">
                    <a:extLst>
                      <a:ext uri="{28A0092B-C50C-407E-A947-70E740481C1C}">
                        <a14:useLocalDpi xmlns:a14="http://schemas.microsoft.com/office/drawing/2010/main" val="0"/>
                      </a:ext>
                    </a:extLst>
                  </a:blip>
                  <a:stretch>
                    <a:fillRect/>
                  </a:stretch>
                </pic:blipFill>
                <pic:spPr>
                  <a:xfrm>
                    <a:off x="0" y="0"/>
                    <a:ext cx="2228850" cy="1485900"/>
                  </a:xfrm>
                  <a:prstGeom prst="rect">
                    <a:avLst/>
                  </a:prstGeom>
                </pic:spPr>
              </pic:pic>
            </a:graphicData>
          </a:graphic>
          <wp14:sizeRelH relativeFrom="page">
            <wp14:pctWidth>0</wp14:pctWidth>
          </wp14:sizeRelH>
          <wp14:sizeRelV relativeFrom="page">
            <wp14:pctHeight>0</wp14:pctHeight>
          </wp14:sizeRelV>
        </wp:anchor>
      </w:drawing>
    </w:r>
    <w:r>
      <w:t xml:space="preserve">   B253500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748A4"/>
    <w:multiLevelType w:val="hybridMultilevel"/>
    <w:tmpl w:val="F8CEA3CC"/>
    <w:lvl w:ilvl="0" w:tplc="000F0409">
      <w:start w:val="1"/>
      <w:numFmt w:val="decimal"/>
      <w:lvlText w:val="%1."/>
      <w:lvlJc w:val="left"/>
      <w:pPr>
        <w:tabs>
          <w:tab w:val="num" w:pos="360"/>
        </w:tabs>
        <w:ind w:left="360" w:hanging="360"/>
      </w:pPr>
    </w:lvl>
    <w:lvl w:ilvl="1" w:tplc="00190409" w:tentative="1">
      <w:start w:val="1"/>
      <w:numFmt w:val="lowerLetter"/>
      <w:lvlText w:val="%2."/>
      <w:lvlJc w:val="left"/>
      <w:pPr>
        <w:tabs>
          <w:tab w:val="num" w:pos="1080"/>
        </w:tabs>
        <w:ind w:left="1080" w:hanging="360"/>
      </w:pPr>
    </w:lvl>
    <w:lvl w:ilvl="2" w:tplc="001B0409" w:tentative="1">
      <w:start w:val="1"/>
      <w:numFmt w:val="lowerRoman"/>
      <w:lvlText w:val="%3."/>
      <w:lvlJc w:val="right"/>
      <w:pPr>
        <w:tabs>
          <w:tab w:val="num" w:pos="1800"/>
        </w:tabs>
        <w:ind w:left="1800" w:hanging="180"/>
      </w:pPr>
    </w:lvl>
    <w:lvl w:ilvl="3" w:tplc="000F0409" w:tentative="1">
      <w:start w:val="1"/>
      <w:numFmt w:val="decimal"/>
      <w:lvlText w:val="%4."/>
      <w:lvlJc w:val="left"/>
      <w:pPr>
        <w:tabs>
          <w:tab w:val="num" w:pos="2520"/>
        </w:tabs>
        <w:ind w:left="2520" w:hanging="360"/>
      </w:pPr>
    </w:lvl>
    <w:lvl w:ilvl="4" w:tplc="00190409" w:tentative="1">
      <w:start w:val="1"/>
      <w:numFmt w:val="lowerLetter"/>
      <w:lvlText w:val="%5."/>
      <w:lvlJc w:val="left"/>
      <w:pPr>
        <w:tabs>
          <w:tab w:val="num" w:pos="3240"/>
        </w:tabs>
        <w:ind w:left="3240" w:hanging="360"/>
      </w:pPr>
    </w:lvl>
    <w:lvl w:ilvl="5" w:tplc="001B0409" w:tentative="1">
      <w:start w:val="1"/>
      <w:numFmt w:val="lowerRoman"/>
      <w:lvlText w:val="%6."/>
      <w:lvlJc w:val="right"/>
      <w:pPr>
        <w:tabs>
          <w:tab w:val="num" w:pos="3960"/>
        </w:tabs>
        <w:ind w:left="3960" w:hanging="180"/>
      </w:pPr>
    </w:lvl>
    <w:lvl w:ilvl="6" w:tplc="000F0409" w:tentative="1">
      <w:start w:val="1"/>
      <w:numFmt w:val="decimal"/>
      <w:lvlText w:val="%7."/>
      <w:lvlJc w:val="left"/>
      <w:pPr>
        <w:tabs>
          <w:tab w:val="num" w:pos="4680"/>
        </w:tabs>
        <w:ind w:left="4680" w:hanging="360"/>
      </w:pPr>
    </w:lvl>
    <w:lvl w:ilvl="7" w:tplc="00190409" w:tentative="1">
      <w:start w:val="1"/>
      <w:numFmt w:val="lowerLetter"/>
      <w:lvlText w:val="%8."/>
      <w:lvlJc w:val="left"/>
      <w:pPr>
        <w:tabs>
          <w:tab w:val="num" w:pos="5400"/>
        </w:tabs>
        <w:ind w:left="5400" w:hanging="360"/>
      </w:pPr>
    </w:lvl>
    <w:lvl w:ilvl="8" w:tplc="001B0409" w:tentative="1">
      <w:start w:val="1"/>
      <w:numFmt w:val="lowerRoman"/>
      <w:lvlText w:val="%9."/>
      <w:lvlJc w:val="right"/>
      <w:pPr>
        <w:tabs>
          <w:tab w:val="num" w:pos="6120"/>
        </w:tabs>
        <w:ind w:left="6120" w:hanging="180"/>
      </w:pPr>
    </w:lvl>
  </w:abstractNum>
  <w:abstractNum w:abstractNumId="1" w15:restartNumberingAfterBreak="0">
    <w:nsid w:val="13316D0E"/>
    <w:multiLevelType w:val="hybridMultilevel"/>
    <w:tmpl w:val="16DEADD6"/>
    <w:lvl w:ilvl="0" w:tplc="00010409">
      <w:start w:val="1"/>
      <w:numFmt w:val="bullet"/>
      <w:lvlText w:val=""/>
      <w:lvlJc w:val="left"/>
      <w:pPr>
        <w:tabs>
          <w:tab w:val="num" w:pos="360"/>
        </w:tabs>
        <w:ind w:left="360" w:hanging="360"/>
      </w:pPr>
      <w:rPr>
        <w:rFonts w:ascii="Symbol" w:hAnsi="Symbol" w:hint="default"/>
      </w:rPr>
    </w:lvl>
    <w:lvl w:ilvl="1" w:tplc="00030409">
      <w:start w:val="1"/>
      <w:numFmt w:val="bullet"/>
      <w:lvlText w:val="o"/>
      <w:lvlJc w:val="left"/>
      <w:pPr>
        <w:tabs>
          <w:tab w:val="num" w:pos="1080"/>
        </w:tabs>
        <w:ind w:left="1080" w:hanging="360"/>
      </w:pPr>
      <w:rPr>
        <w:rFonts w:ascii="Courier New" w:hAnsi="Courier New" w:hint="default"/>
      </w:rPr>
    </w:lvl>
    <w:lvl w:ilvl="2" w:tplc="00050409" w:tentative="1">
      <w:start w:val="1"/>
      <w:numFmt w:val="bullet"/>
      <w:lvlText w:val=""/>
      <w:lvlJc w:val="left"/>
      <w:pPr>
        <w:tabs>
          <w:tab w:val="num" w:pos="1800"/>
        </w:tabs>
        <w:ind w:left="1800" w:hanging="360"/>
      </w:pPr>
      <w:rPr>
        <w:rFonts w:ascii="Wingdings" w:hAnsi="Wingdings" w:hint="default"/>
      </w:rPr>
    </w:lvl>
    <w:lvl w:ilvl="3" w:tplc="00010409" w:tentative="1">
      <w:start w:val="1"/>
      <w:numFmt w:val="bullet"/>
      <w:lvlText w:val=""/>
      <w:lvlJc w:val="left"/>
      <w:pPr>
        <w:tabs>
          <w:tab w:val="num" w:pos="2520"/>
        </w:tabs>
        <w:ind w:left="2520" w:hanging="360"/>
      </w:pPr>
      <w:rPr>
        <w:rFonts w:ascii="Symbol" w:hAnsi="Symbol" w:hint="default"/>
      </w:rPr>
    </w:lvl>
    <w:lvl w:ilvl="4" w:tplc="00030409" w:tentative="1">
      <w:start w:val="1"/>
      <w:numFmt w:val="bullet"/>
      <w:lvlText w:val="o"/>
      <w:lvlJc w:val="left"/>
      <w:pPr>
        <w:tabs>
          <w:tab w:val="num" w:pos="3240"/>
        </w:tabs>
        <w:ind w:left="3240" w:hanging="360"/>
      </w:pPr>
      <w:rPr>
        <w:rFonts w:ascii="Courier New" w:hAnsi="Courier New" w:hint="default"/>
      </w:rPr>
    </w:lvl>
    <w:lvl w:ilvl="5" w:tplc="00050409" w:tentative="1">
      <w:start w:val="1"/>
      <w:numFmt w:val="bullet"/>
      <w:lvlText w:val=""/>
      <w:lvlJc w:val="left"/>
      <w:pPr>
        <w:tabs>
          <w:tab w:val="num" w:pos="3960"/>
        </w:tabs>
        <w:ind w:left="3960" w:hanging="360"/>
      </w:pPr>
      <w:rPr>
        <w:rFonts w:ascii="Wingdings" w:hAnsi="Wingdings" w:hint="default"/>
      </w:rPr>
    </w:lvl>
    <w:lvl w:ilvl="6" w:tplc="00010409" w:tentative="1">
      <w:start w:val="1"/>
      <w:numFmt w:val="bullet"/>
      <w:lvlText w:val=""/>
      <w:lvlJc w:val="left"/>
      <w:pPr>
        <w:tabs>
          <w:tab w:val="num" w:pos="4680"/>
        </w:tabs>
        <w:ind w:left="4680" w:hanging="360"/>
      </w:pPr>
      <w:rPr>
        <w:rFonts w:ascii="Symbol" w:hAnsi="Symbol" w:hint="default"/>
      </w:rPr>
    </w:lvl>
    <w:lvl w:ilvl="7" w:tplc="00030409" w:tentative="1">
      <w:start w:val="1"/>
      <w:numFmt w:val="bullet"/>
      <w:lvlText w:val="o"/>
      <w:lvlJc w:val="left"/>
      <w:pPr>
        <w:tabs>
          <w:tab w:val="num" w:pos="5400"/>
        </w:tabs>
        <w:ind w:left="5400" w:hanging="360"/>
      </w:pPr>
      <w:rPr>
        <w:rFonts w:ascii="Courier New" w:hAnsi="Courier New" w:hint="default"/>
      </w:rPr>
    </w:lvl>
    <w:lvl w:ilvl="8" w:tplc="00050409"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22D8778E"/>
    <w:multiLevelType w:val="hybridMultilevel"/>
    <w:tmpl w:val="8EA280B6"/>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 w15:restartNumberingAfterBreak="0">
    <w:nsid w:val="2420299C"/>
    <w:multiLevelType w:val="singleLevel"/>
    <w:tmpl w:val="DFBE0652"/>
    <w:lvl w:ilvl="0">
      <w:start w:val="1"/>
      <w:numFmt w:val="lowerLetter"/>
      <w:lvlText w:val="%1)"/>
      <w:lvlJc w:val="left"/>
      <w:pPr>
        <w:tabs>
          <w:tab w:val="num" w:pos="720"/>
        </w:tabs>
        <w:ind w:left="720" w:hanging="720"/>
      </w:pPr>
      <w:rPr>
        <w:rFonts w:hint="default"/>
      </w:rPr>
    </w:lvl>
  </w:abstractNum>
  <w:abstractNum w:abstractNumId="4" w15:restartNumberingAfterBreak="0">
    <w:nsid w:val="27801AD4"/>
    <w:multiLevelType w:val="hybridMultilevel"/>
    <w:tmpl w:val="E5D494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45910E9D"/>
    <w:multiLevelType w:val="hybridMultilevel"/>
    <w:tmpl w:val="79566FA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55D62921"/>
    <w:multiLevelType w:val="hybridMultilevel"/>
    <w:tmpl w:val="3F8C63B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69F80BE0"/>
    <w:multiLevelType w:val="hybridMultilevel"/>
    <w:tmpl w:val="1902C11C"/>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79DA66F1"/>
    <w:multiLevelType w:val="hybridMultilevel"/>
    <w:tmpl w:val="D27451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7CC321A3"/>
    <w:multiLevelType w:val="hybridMultilevel"/>
    <w:tmpl w:val="447248FE"/>
    <w:lvl w:ilvl="0" w:tplc="55865B6C">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num w:numId="1" w16cid:durableId="2074312468">
    <w:abstractNumId w:val="3"/>
  </w:num>
  <w:num w:numId="2" w16cid:durableId="706024457">
    <w:abstractNumId w:val="1"/>
  </w:num>
  <w:num w:numId="3" w16cid:durableId="572928920">
    <w:abstractNumId w:val="9"/>
  </w:num>
  <w:num w:numId="4" w16cid:durableId="336421535">
    <w:abstractNumId w:val="0"/>
  </w:num>
  <w:num w:numId="5" w16cid:durableId="1140801607">
    <w:abstractNumId w:val="4"/>
  </w:num>
  <w:num w:numId="6" w16cid:durableId="1242527319">
    <w:abstractNumId w:val="5"/>
  </w:num>
  <w:num w:numId="7" w16cid:durableId="481849393">
    <w:abstractNumId w:val="6"/>
  </w:num>
  <w:num w:numId="8" w16cid:durableId="1142698384">
    <w:abstractNumId w:val="2"/>
  </w:num>
  <w:num w:numId="9" w16cid:durableId="1882744661">
    <w:abstractNumId w:val="8"/>
  </w:num>
  <w:num w:numId="10" w16cid:durableId="92237436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305"/>
    <w:rsid w:val="00023B84"/>
    <w:rsid w:val="00030CB4"/>
    <w:rsid w:val="00040E7D"/>
    <w:rsid w:val="0004245D"/>
    <w:rsid w:val="00052BDC"/>
    <w:rsid w:val="00052DD1"/>
    <w:rsid w:val="00076556"/>
    <w:rsid w:val="000D325D"/>
    <w:rsid w:val="000D4F36"/>
    <w:rsid w:val="000E2C8D"/>
    <w:rsid w:val="000E71C5"/>
    <w:rsid w:val="000F1795"/>
    <w:rsid w:val="00100DC3"/>
    <w:rsid w:val="0010114C"/>
    <w:rsid w:val="0010647D"/>
    <w:rsid w:val="0011491F"/>
    <w:rsid w:val="001160E6"/>
    <w:rsid w:val="00141365"/>
    <w:rsid w:val="00162558"/>
    <w:rsid w:val="0016357A"/>
    <w:rsid w:val="00183B90"/>
    <w:rsid w:val="001A0266"/>
    <w:rsid w:val="001A3A2E"/>
    <w:rsid w:val="001B1E7A"/>
    <w:rsid w:val="001D6CB3"/>
    <w:rsid w:val="001E0BED"/>
    <w:rsid w:val="001E0C9C"/>
    <w:rsid w:val="001E39C3"/>
    <w:rsid w:val="00232E2B"/>
    <w:rsid w:val="00232F13"/>
    <w:rsid w:val="00234EF1"/>
    <w:rsid w:val="002478B9"/>
    <w:rsid w:val="00250652"/>
    <w:rsid w:val="00265E77"/>
    <w:rsid w:val="00273721"/>
    <w:rsid w:val="002770C3"/>
    <w:rsid w:val="00285732"/>
    <w:rsid w:val="00297D32"/>
    <w:rsid w:val="002B17F0"/>
    <w:rsid w:val="002C74A5"/>
    <w:rsid w:val="002E67CE"/>
    <w:rsid w:val="002E72E8"/>
    <w:rsid w:val="002F00E7"/>
    <w:rsid w:val="002F1826"/>
    <w:rsid w:val="00312076"/>
    <w:rsid w:val="00314A4B"/>
    <w:rsid w:val="00331D9D"/>
    <w:rsid w:val="003363FC"/>
    <w:rsid w:val="00337633"/>
    <w:rsid w:val="003479C1"/>
    <w:rsid w:val="00360140"/>
    <w:rsid w:val="003647CD"/>
    <w:rsid w:val="00364CC6"/>
    <w:rsid w:val="003659E6"/>
    <w:rsid w:val="00385C02"/>
    <w:rsid w:val="0039363E"/>
    <w:rsid w:val="00396C35"/>
    <w:rsid w:val="003B13D1"/>
    <w:rsid w:val="003B53C2"/>
    <w:rsid w:val="003C0FDC"/>
    <w:rsid w:val="003C7B21"/>
    <w:rsid w:val="003E3956"/>
    <w:rsid w:val="00413D1E"/>
    <w:rsid w:val="00436826"/>
    <w:rsid w:val="00440DA2"/>
    <w:rsid w:val="00447CC9"/>
    <w:rsid w:val="00451967"/>
    <w:rsid w:val="00464004"/>
    <w:rsid w:val="004757D9"/>
    <w:rsid w:val="00480F6A"/>
    <w:rsid w:val="0048506B"/>
    <w:rsid w:val="004D41E1"/>
    <w:rsid w:val="004D4A9A"/>
    <w:rsid w:val="004E6C94"/>
    <w:rsid w:val="004F448F"/>
    <w:rsid w:val="004F7BB5"/>
    <w:rsid w:val="00513224"/>
    <w:rsid w:val="00525F86"/>
    <w:rsid w:val="00530DC9"/>
    <w:rsid w:val="005377D7"/>
    <w:rsid w:val="005425DA"/>
    <w:rsid w:val="00547DE9"/>
    <w:rsid w:val="005B54B0"/>
    <w:rsid w:val="005B72C7"/>
    <w:rsid w:val="005C068F"/>
    <w:rsid w:val="005D6C76"/>
    <w:rsid w:val="005E4972"/>
    <w:rsid w:val="0060001D"/>
    <w:rsid w:val="006243AE"/>
    <w:rsid w:val="00632C10"/>
    <w:rsid w:val="00634BDE"/>
    <w:rsid w:val="00636596"/>
    <w:rsid w:val="0066245E"/>
    <w:rsid w:val="00674DE7"/>
    <w:rsid w:val="00686276"/>
    <w:rsid w:val="0069107B"/>
    <w:rsid w:val="00702FCC"/>
    <w:rsid w:val="00703322"/>
    <w:rsid w:val="007166FB"/>
    <w:rsid w:val="0074038C"/>
    <w:rsid w:val="0074064F"/>
    <w:rsid w:val="00757E03"/>
    <w:rsid w:val="0076074B"/>
    <w:rsid w:val="00774B00"/>
    <w:rsid w:val="0078072D"/>
    <w:rsid w:val="0078102A"/>
    <w:rsid w:val="00783404"/>
    <w:rsid w:val="007F686E"/>
    <w:rsid w:val="00800A50"/>
    <w:rsid w:val="008017F9"/>
    <w:rsid w:val="00801A6D"/>
    <w:rsid w:val="008155A3"/>
    <w:rsid w:val="00822182"/>
    <w:rsid w:val="0082219D"/>
    <w:rsid w:val="00830FE5"/>
    <w:rsid w:val="00845957"/>
    <w:rsid w:val="0085320E"/>
    <w:rsid w:val="00856191"/>
    <w:rsid w:val="00856620"/>
    <w:rsid w:val="008573C5"/>
    <w:rsid w:val="00862895"/>
    <w:rsid w:val="00865215"/>
    <w:rsid w:val="00876060"/>
    <w:rsid w:val="008839E2"/>
    <w:rsid w:val="008A2E35"/>
    <w:rsid w:val="008A47F1"/>
    <w:rsid w:val="008D3621"/>
    <w:rsid w:val="008D5E24"/>
    <w:rsid w:val="008D73E1"/>
    <w:rsid w:val="008F250D"/>
    <w:rsid w:val="008F671B"/>
    <w:rsid w:val="0093498F"/>
    <w:rsid w:val="00945232"/>
    <w:rsid w:val="009541BA"/>
    <w:rsid w:val="00980B3C"/>
    <w:rsid w:val="00982DE1"/>
    <w:rsid w:val="00990D45"/>
    <w:rsid w:val="0099453E"/>
    <w:rsid w:val="0099589D"/>
    <w:rsid w:val="009A3A09"/>
    <w:rsid w:val="009A4559"/>
    <w:rsid w:val="009B2F00"/>
    <w:rsid w:val="009B3FE6"/>
    <w:rsid w:val="009D5183"/>
    <w:rsid w:val="009F3BE2"/>
    <w:rsid w:val="00A21BDC"/>
    <w:rsid w:val="00A23FF9"/>
    <w:rsid w:val="00A338C6"/>
    <w:rsid w:val="00A40514"/>
    <w:rsid w:val="00A47E41"/>
    <w:rsid w:val="00A60FB3"/>
    <w:rsid w:val="00A62D23"/>
    <w:rsid w:val="00A707A4"/>
    <w:rsid w:val="00A7248E"/>
    <w:rsid w:val="00A87409"/>
    <w:rsid w:val="00A9363E"/>
    <w:rsid w:val="00AA006C"/>
    <w:rsid w:val="00AA0EC2"/>
    <w:rsid w:val="00AB0AF8"/>
    <w:rsid w:val="00AB75E9"/>
    <w:rsid w:val="00AC1B34"/>
    <w:rsid w:val="00AD37EB"/>
    <w:rsid w:val="00B0316B"/>
    <w:rsid w:val="00B14964"/>
    <w:rsid w:val="00B15B62"/>
    <w:rsid w:val="00B25D09"/>
    <w:rsid w:val="00B46AF0"/>
    <w:rsid w:val="00B477DB"/>
    <w:rsid w:val="00B609CA"/>
    <w:rsid w:val="00B772E1"/>
    <w:rsid w:val="00B8450B"/>
    <w:rsid w:val="00C03617"/>
    <w:rsid w:val="00C12690"/>
    <w:rsid w:val="00C453AD"/>
    <w:rsid w:val="00C5032E"/>
    <w:rsid w:val="00C54893"/>
    <w:rsid w:val="00C802F8"/>
    <w:rsid w:val="00C86B66"/>
    <w:rsid w:val="00CB7D42"/>
    <w:rsid w:val="00CC3D37"/>
    <w:rsid w:val="00CC5672"/>
    <w:rsid w:val="00CD3684"/>
    <w:rsid w:val="00CE3799"/>
    <w:rsid w:val="00CE797F"/>
    <w:rsid w:val="00CF3F5F"/>
    <w:rsid w:val="00D23B43"/>
    <w:rsid w:val="00D24564"/>
    <w:rsid w:val="00D26639"/>
    <w:rsid w:val="00D271A0"/>
    <w:rsid w:val="00D41530"/>
    <w:rsid w:val="00D423BB"/>
    <w:rsid w:val="00D608EF"/>
    <w:rsid w:val="00D64E57"/>
    <w:rsid w:val="00D958FD"/>
    <w:rsid w:val="00DB3B09"/>
    <w:rsid w:val="00DB5DB9"/>
    <w:rsid w:val="00DC3BC2"/>
    <w:rsid w:val="00DD5753"/>
    <w:rsid w:val="00E03B14"/>
    <w:rsid w:val="00E0790A"/>
    <w:rsid w:val="00E1228B"/>
    <w:rsid w:val="00E13F5E"/>
    <w:rsid w:val="00E236FD"/>
    <w:rsid w:val="00E43305"/>
    <w:rsid w:val="00E47931"/>
    <w:rsid w:val="00E6500E"/>
    <w:rsid w:val="00E81B94"/>
    <w:rsid w:val="00E832E8"/>
    <w:rsid w:val="00E8429D"/>
    <w:rsid w:val="00EB4BA7"/>
    <w:rsid w:val="00F0476A"/>
    <w:rsid w:val="00F15DA4"/>
    <w:rsid w:val="00F25176"/>
    <w:rsid w:val="00F32C2B"/>
    <w:rsid w:val="00F52826"/>
    <w:rsid w:val="00F5288C"/>
    <w:rsid w:val="00F71F85"/>
    <w:rsid w:val="00F87D6F"/>
    <w:rsid w:val="00F9030A"/>
    <w:rsid w:val="00FE612B"/>
    <w:rsid w:val="00FE6BA3"/>
    <w:rsid w:val="00FF0D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EDD792"/>
  <w15:docId w15:val="{1B0D0DBC-5D4C-4140-B267-0588A5E00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153"/>
        <w:tab w:val="right" w:pos="8306"/>
      </w:tabs>
    </w:pPr>
  </w:style>
  <w:style w:type="paragraph" w:styleId="Footer">
    <w:name w:val="footer"/>
    <w:basedOn w:val="Normal"/>
    <w:pPr>
      <w:tabs>
        <w:tab w:val="center" w:pos="4153"/>
        <w:tab w:val="right" w:pos="8306"/>
      </w:tabs>
    </w:pPr>
  </w:style>
  <w:style w:type="paragraph" w:styleId="BodyText">
    <w:name w:val="Body Text"/>
    <w:basedOn w:val="Normal"/>
    <w:pPr>
      <w:jc w:val="both"/>
    </w:pPr>
    <w:rPr>
      <w:rFonts w:ascii="Arial" w:hAnsi="Arial" w:cs="Arial"/>
      <w:sz w:val="32"/>
    </w:rPr>
  </w:style>
  <w:style w:type="paragraph" w:styleId="BodyText2">
    <w:name w:val="Body Text 2"/>
    <w:basedOn w:val="Normal"/>
    <w:pPr>
      <w:tabs>
        <w:tab w:val="left" w:pos="-1440"/>
        <w:tab w:val="left" w:pos="-720"/>
        <w:tab w:val="left" w:pos="0"/>
      </w:tabs>
      <w:suppressAutoHyphens/>
      <w:jc w:val="both"/>
    </w:pPr>
    <w:rPr>
      <w:rFonts w:ascii="Arial" w:hAnsi="Arial" w:cs="Arial"/>
      <w:bCs/>
      <w:iCs/>
    </w:rPr>
  </w:style>
  <w:style w:type="paragraph" w:styleId="BodyTextIndent">
    <w:name w:val="Body Text Indent"/>
    <w:basedOn w:val="Normal"/>
    <w:pPr>
      <w:keepNext/>
      <w:tabs>
        <w:tab w:val="left" w:pos="-1440"/>
        <w:tab w:val="left" w:pos="-720"/>
        <w:tab w:val="left" w:pos="0"/>
        <w:tab w:val="left" w:pos="360"/>
        <w:tab w:val="left" w:pos="720"/>
        <w:tab w:val="left" w:pos="1080"/>
        <w:tab w:val="left" w:pos="1440"/>
        <w:tab w:val="left" w:pos="1800"/>
        <w:tab w:val="left" w:pos="2160"/>
      </w:tabs>
      <w:suppressAutoHyphens/>
      <w:ind w:left="1080" w:hanging="1080"/>
      <w:jc w:val="both"/>
      <w:outlineLvl w:val="4"/>
    </w:pPr>
    <w:rPr>
      <w:rFonts w:ascii="Arial" w:hAnsi="Arial" w:cs="Arial"/>
      <w:b/>
      <w:i/>
      <w:sz w:val="28"/>
    </w:rPr>
  </w:style>
  <w:style w:type="paragraph" w:styleId="BodyText3">
    <w:name w:val="Body Text 3"/>
    <w:basedOn w:val="Normal"/>
    <w:pPr>
      <w:keepNext/>
      <w:tabs>
        <w:tab w:val="left" w:pos="-1440"/>
        <w:tab w:val="left" w:pos="-720"/>
        <w:tab w:val="left" w:pos="0"/>
        <w:tab w:val="left" w:pos="360"/>
        <w:tab w:val="left" w:pos="540"/>
        <w:tab w:val="left" w:pos="720"/>
        <w:tab w:val="left" w:pos="1440"/>
        <w:tab w:val="left" w:pos="1800"/>
        <w:tab w:val="left" w:pos="2160"/>
      </w:tabs>
      <w:suppressAutoHyphens/>
      <w:jc w:val="both"/>
      <w:outlineLvl w:val="4"/>
    </w:pPr>
    <w:rPr>
      <w:rFonts w:ascii="Arial" w:hAnsi="Arial" w:cs="Arial"/>
      <w:bCs/>
      <w:iCs/>
      <w:sz w:val="28"/>
    </w:rPr>
  </w:style>
  <w:style w:type="paragraph" w:styleId="BalloonText">
    <w:name w:val="Balloon Text"/>
    <w:basedOn w:val="Normal"/>
    <w:semiHidden/>
    <w:rsid w:val="00E832E8"/>
    <w:rPr>
      <w:rFonts w:ascii="Tahoma" w:hAnsi="Tahoma" w:cs="Tahoma"/>
      <w:sz w:val="16"/>
      <w:szCs w:val="16"/>
    </w:rPr>
  </w:style>
  <w:style w:type="character" w:styleId="Hyperlink">
    <w:name w:val="Hyperlink"/>
    <w:rsid w:val="00E81B94"/>
    <w:rPr>
      <w:color w:val="0000FF"/>
      <w:u w:val="single"/>
    </w:rPr>
  </w:style>
  <w:style w:type="character" w:styleId="UnresolvedMention">
    <w:name w:val="Unresolved Mention"/>
    <w:basedOn w:val="DefaultParagraphFont"/>
    <w:uiPriority w:val="99"/>
    <w:semiHidden/>
    <w:unhideWhenUsed/>
    <w:rsid w:val="00DC3BC2"/>
    <w:rPr>
      <w:color w:val="605E5C"/>
      <w:shd w:val="clear" w:color="auto" w:fill="E1DFDD"/>
    </w:rPr>
  </w:style>
  <w:style w:type="character" w:styleId="FollowedHyperlink">
    <w:name w:val="FollowedHyperlink"/>
    <w:basedOn w:val="DefaultParagraphFont"/>
    <w:semiHidden/>
    <w:unhideWhenUsed/>
    <w:rsid w:val="002770C3"/>
    <w:rPr>
      <w:color w:val="800080" w:themeColor="followedHyperlink"/>
      <w:u w:val="single"/>
    </w:rPr>
  </w:style>
  <w:style w:type="paragraph" w:styleId="ListParagraph">
    <w:name w:val="List Paragraph"/>
    <w:basedOn w:val="Normal"/>
    <w:uiPriority w:val="34"/>
    <w:qFormat/>
    <w:rsid w:val="00A9363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4423687">
      <w:bodyDiv w:val="1"/>
      <w:marLeft w:val="0"/>
      <w:marRight w:val="0"/>
      <w:marTop w:val="0"/>
      <w:marBottom w:val="0"/>
      <w:divBdr>
        <w:top w:val="none" w:sz="0" w:space="0" w:color="auto"/>
        <w:left w:val="none" w:sz="0" w:space="0" w:color="auto"/>
        <w:bottom w:val="none" w:sz="0" w:space="0" w:color="auto"/>
        <w:right w:val="none" w:sz="0" w:space="0" w:color="auto"/>
      </w:divBdr>
    </w:div>
    <w:div w:id="1347709438">
      <w:bodyDiv w:val="1"/>
      <w:marLeft w:val="0"/>
      <w:marRight w:val="0"/>
      <w:marTop w:val="0"/>
      <w:marBottom w:val="0"/>
      <w:divBdr>
        <w:top w:val="none" w:sz="0" w:space="0" w:color="auto"/>
        <w:left w:val="none" w:sz="0" w:space="0" w:color="auto"/>
        <w:bottom w:val="none" w:sz="0" w:space="0" w:color="auto"/>
        <w:right w:val="none" w:sz="0" w:space="0" w:color="auto"/>
      </w:divBdr>
    </w:div>
    <w:div w:id="13978218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2"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BD8BBF-8A0B-45AE-A6DA-7A94804CD8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8</Words>
  <Characters>46</Characters>
  <Application>Microsoft Office Word</Application>
  <DocSecurity>0</DocSecurity>
  <Lines>1</Lines>
  <Paragraphs>1</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CV/ CAREER SUMMARY INFORMATION</vt:lpstr>
      <vt:lpstr>CV/ CAREER SUMMARY INFORMATION</vt:lpstr>
    </vt:vector>
  </TitlesOfParts>
  <Company>Management School</Company>
  <LinksUpToDate>false</LinksUpToDate>
  <CharactersWithSpaces>53</CharactersWithSpaces>
  <SharedDoc>false</SharedDoc>
  <HLinks>
    <vt:vector size="6" baseType="variant">
      <vt:variant>
        <vt:i4>2424943</vt:i4>
      </vt:variant>
      <vt:variant>
        <vt:i4>0</vt:i4>
      </vt:variant>
      <vt:variant>
        <vt:i4>0</vt:i4>
      </vt:variant>
      <vt:variant>
        <vt:i4>5</vt:i4>
      </vt:variant>
      <vt:variant>
        <vt:lpwstr>https://www.wiki.ed.ac.uk/pages/viewpage.action?pageId=46563494</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CAREER SUMMARY INFORMATION</dc:title>
  <dc:subject/>
  <dc:creator>Jackie Clark</dc:creator>
  <cp:keywords/>
  <dc:description/>
  <cp:lastModifiedBy>Azamat Kanatuly</cp:lastModifiedBy>
  <cp:revision>28</cp:revision>
  <cp:lastPrinted>2012-08-22T12:07:00Z</cp:lastPrinted>
  <dcterms:created xsi:type="dcterms:W3CDTF">2025-07-11T11:27:00Z</dcterms:created>
  <dcterms:modified xsi:type="dcterms:W3CDTF">2025-07-21T11:48:00Z</dcterms:modified>
</cp:coreProperties>
</file>