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999773"/>
            <wp:docPr id="1" name="Picture 1"/>
            <wp:cNvGraphicFramePr>
              <a:graphicFrameLocks noChangeAspect="1"/>
            </wp:cNvGraphicFramePr>
            <a:graphic>
              <a:graphicData uri="http://schemas.openxmlformats.org/drawingml/2006/picture">
                <pic:pic>
                  <pic:nvPicPr>
                    <pic:cNvPr id="0" name="front_page.jpg"/>
                    <pic:cNvPicPr/>
                  </pic:nvPicPr>
                  <pic:blipFill>
                    <a:blip r:embed="rId9"/>
                    <a:stretch>
                      <a:fillRect/>
                    </a:stretch>
                  </pic:blipFill>
                  <pic:spPr>
                    <a:xfrm>
                      <a:off x="0" y="0"/>
                      <a:ext cx="5943600" cy="1999773"/>
                    </a:xfrm>
                    <a:prstGeom prst="rect"/>
                  </pic:spPr>
                </pic:pic>
              </a:graphicData>
            </a:graphic>
          </wp:inline>
        </w:drawing>
      </w:r>
    </w:p>
    <w:p/>
    <w:p/>
    <w:p/>
    <w:p/>
    <w:p>
      <w:pPr>
        <w:jc w:val="cente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11, 2025 at 01:30 PM</w:t>
      </w:r>
    </w:p>
    <w:p>
      <w:r>
        <w:br w:type="page"/>
      </w:r>
    </w:p>
    <w:p>
      <w:pPr>
        <w:sectPr>
          <w:headerReference w:type="default" r:id="rId10"/>
          <w:pgSz w:w="12240" w:h="15840"/>
          <w:pgMar w:top="1440" w:right="1800" w:bottom="1440" w:left="1800" w:header="720" w:footer="720" w:gutter="0"/>
          <w:cols w:space="720"/>
          <w:docGrid w:linePitch="360"/>
        </w:sectPr>
      </w:pPr>
    </w:p>
    <w:p>
      <w:pPr>
        <w:jc w:val="both"/>
      </w:pPr>
      <w:r>
        <w:rPr>
          <w:rFonts w:ascii="Times New Roman" w:hAnsi="Times New Roman"/>
          <w:sz w:val="24"/>
        </w:rPr>
        <w:t>INVESTMENT MEMORANDUM – StoreDot</w:t>
      </w:r>
    </w:p>
    <w:p>
      <w:pPr>
        <w:jc w:val="both"/>
      </w:pPr>
      <w:r>
        <w:rPr>
          <w:rFonts w:ascii="Times New Roman" w:hAnsi="Times New Roman"/>
          <w:sz w:val="24"/>
        </w:rPr>
        <w:t>(Prepared July 11, 2025)</w:t>
      </w:r>
    </w:p>
    <w:p>
      <w:pPr>
        <w:jc w:val="both"/>
      </w:pPr>
      <w:r>
        <w:rPr>
          <w:rFonts w:ascii="Times New Roman" w:hAnsi="Times New Roman"/>
          <w:b/>
          <w:sz w:val="24"/>
        </w:rPr>
        <w:t>1. DETAILED SUMMARY</w:t>
      </w:r>
    </w:p>
    <w:p>
      <w:pPr>
        <w:jc w:val="both"/>
      </w:pPr>
      <w:r>
        <w:rPr>
          <w:rFonts w:ascii="Times New Roman" w:hAnsi="Times New Roman"/>
          <w:sz w:val="24"/>
        </w:rPr>
        <w:t>============================================================</w:t>
      </w:r>
    </w:p>
    <w:p>
      <w:pPr>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jc w:val="both"/>
      </w:pPr>
      <w:r>
        <w:rPr>
          <w:rFonts w:ascii="Times New Roman" w:hAnsi="Times New Roman"/>
          <w:sz w:val="24"/>
        </w:rPr>
        <w:t>2. COMPANY OVERVIEW (including team and website)</w:t>
      </w:r>
    </w:p>
    <w:p>
      <w:pPr>
        <w:jc w:val="both"/>
      </w:pPr>
      <w:r>
        <w:rPr>
          <w:rFonts w:ascii="Times New Roman" w:hAnsi="Times New Roman"/>
          <w:sz w:val="24"/>
        </w:rPr>
        <w:t>Company: StoreDot</w:t>
      </w:r>
    </w:p>
    <w:p>
      <w:pPr>
        <w:jc w:val="both"/>
      </w:pPr>
      <w:r>
        <w:rPr>
          <w:rFonts w:ascii="Times New Roman" w:hAnsi="Times New Roman"/>
          <w:sz w:val="24"/>
        </w:rPr>
        <w:t>Sector: Battery Technology</w:t>
      </w:r>
    </w:p>
    <w:p>
      <w:pPr>
        <w:jc w:val="both"/>
      </w:pPr>
      <w:r>
        <w:rPr>
          <w:rFonts w:ascii="Times New Roman" w:hAnsi="Times New Roman"/>
          <w:sz w:val="24"/>
        </w:rPr>
        <w:t>Website: The official website for the company StoreDot is https://storedot.com.</w:t>
      </w:r>
    </w:p>
    <w:p>
      <w:pPr>
        <w:jc w:val="both"/>
      </w:pPr>
      <w:r>
        <w:rPr>
          <w:rFonts w:ascii="Times New Roman" w:hAnsi="Times New Roman"/>
          <w:sz w:val="24"/>
        </w:rPr>
        <w:t>Funding Stage: unknown</w:t>
      </w:r>
    </w:p>
    <w:p>
      <w:pPr>
        <w:jc w:val="both"/>
      </w:pPr>
      <w:r>
        <w:rPr>
          <w:rFonts w:ascii="Times New Roman" w:hAnsi="Times New Roman"/>
          <w:sz w:val="24"/>
        </w:rPr>
        <w:t>Team: Doron Myersdorf</w:t>
      </w:r>
    </w:p>
    <w:p>
      <w:pPr>
        <w:jc w:val="both"/>
      </w:pPr>
      <w:r>
        <w:rPr>
          <w:rFonts w:ascii="Times New Roman" w:hAnsi="Times New Roman"/>
          <w:b/>
          <w:sz w:val="24"/>
        </w:rPr>
        <w:t>3. PROBLEM STATEMENT</w:t>
      </w:r>
    </w:p>
    <w:p>
      <w:pPr>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jc w:val="both"/>
      </w:pPr>
      <w:r>
        <w:rPr>
          <w:rFonts w:ascii="Times New Roman" w:hAnsi="Times New Roman"/>
          <w:b/>
          <w:sz w:val="24"/>
        </w:rPr>
        <w:t>4. SOLUTION OVERVIEW</w:t>
      </w:r>
    </w:p>
    <w:p>
      <w:pPr>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jc w:val="both"/>
      </w:pPr>
      <w:r>
        <w:rPr>
          <w:rFonts w:ascii="Times New Roman" w:hAnsi="Times New Roman"/>
          <w:b/>
          <w:sz w:val="24"/>
        </w:rPr>
        <w:t>5. MARKET SIZE &amp; ANALYSIS</w:t>
      </w:r>
    </w:p>
    <w:p>
      <w:pPr>
        <w:jc w:val="both"/>
      </w:pPr>
      <w:r>
        <w:rPr>
          <w:rFonts w:ascii="Times New Roman" w:hAnsi="Times New Roman"/>
          <w:sz w:val="24"/>
        </w:rPr>
        <w:t>TAM: $150000.0M (Source: StoreDot April 2023 Corporate Overview)</w:t>
      </w:r>
    </w:p>
    <w:p>
      <w:pPr>
        <w:jc w:val="both"/>
      </w:pPr>
      <w:r>
        <w:rPr>
          <w:rFonts w:ascii="Times New Roman" w:hAnsi="Times New Roman"/>
          <w:sz w:val="24"/>
        </w:rPr>
        <w:t>SAM: $45000.0M (Source: StoreDot April 2023 Corporate Overview)</w:t>
      </w:r>
    </w:p>
    <w:p>
      <w:pPr>
        <w:jc w:val="both"/>
      </w:pPr>
      <w:r>
        <w:rPr>
          <w:rFonts w:ascii="Times New Roman" w:hAnsi="Times New Roman"/>
          <w:sz w:val="24"/>
        </w:rPr>
        <w:t>SOM: $9000.0M (Source: StoreDot April 2023 Corporate Overview)</w:t>
      </w:r>
    </w:p>
    <w:p>
      <w:pPr>
        <w:jc w:val="both"/>
      </w:pPr>
      <w:r>
        <w:rPr>
          <w:rFonts w:ascii="Times New Roman" w:hAnsi="Times New Roman"/>
          <w:sz w:val="24"/>
        </w:rPr>
        <w:t>Market Penetration Potential: 6.0%</w:t>
      </w:r>
    </w:p>
    <w:p>
      <w:pPr>
        <w:jc w:val="both"/>
      </w:pPr>
      <w:r>
        <w:rPr>
          <w:rFonts w:ascii="Times New Roman" w:hAnsi="Times New Roman"/>
          <w:sz w:val="24"/>
        </w:rPr>
        <w:t>Battery Technology</w:t>
      </w:r>
    </w:p>
    <w:p>
      <w:pPr>
        <w:jc w:val="both"/>
      </w:pPr>
      <w:r>
        <w:rPr>
          <w:rFonts w:ascii="Times New Roman" w:hAnsi="Times New Roman"/>
          <w:sz w:val="24"/>
        </w:rPr>
        <w:t>--- Extracted Tables ---</w:t>
      </w:r>
    </w:p>
    <w:p>
      <w:pPr>
        <w:jc w:val="both"/>
      </w:pPr>
      <w:r>
        <w:rPr>
          <w:rFonts w:ascii="Times New Roman" w:hAnsi="Times New Roman"/>
          <w:sz w:val="24"/>
        </w:rPr>
        <w:t>No tables extracted.</w:t>
      </w:r>
    </w:p>
    <w:p>
      <w:pPr>
        <w:jc w:val="both"/>
      </w:pPr>
      <w:r>
        <w:rPr>
          <w:rFonts w:ascii="Times New Roman" w:hAnsi="Times New Roman"/>
          <w:sz w:val="24"/>
        </w:rPr>
        <w:t>6. COMPETITIVE LANDSCAPE (with identified competitors)</w:t>
      </w:r>
    </w:p>
    <w:p>
      <w:pPr>
        <w:jc w:val="both"/>
      </w:pPr>
      <w:r>
        <w:rPr>
          <w:rFonts w:ascii="Times New Roman" w:hAnsi="Times New Roman"/>
          <w:sz w:val="24"/>
        </w:rPr>
        <w:t>QuantumScape: Focuses on solid-state lithium-metal batteries promising higher energy density and faster charging times..</w:t>
      </w:r>
    </w:p>
    <w:p>
      <w:pPr>
        <w:jc w:val="both"/>
      </w:pPr>
      <w:r>
        <w:rPr>
          <w:rFonts w:ascii="Times New Roman" w:hAnsi="Times New Roman"/>
          <w:sz w:val="24"/>
        </w:rPr>
        <w:t>Sila Nanotechnologies: Develops silicon-dominant anode materials to improve battery energy density and charging speed..</w:t>
      </w:r>
    </w:p>
    <w:p>
      <w:pPr>
        <w:jc w:val="both"/>
      </w:pPr>
      <w:r>
        <w:rPr>
          <w:rFonts w:ascii="Times New Roman" w:hAnsi="Times New Roman"/>
          <w:sz w:val="24"/>
        </w:rPr>
        <w:t>Solid Power: Specializes in all-solid-state battery technology targeting automotive applications with enhanced safety and performance..</w:t>
      </w:r>
    </w:p>
    <w:p>
      <w:pPr>
        <w:jc w:val="both"/>
      </w:pPr>
      <w:r>
        <w:rPr>
          <w:rFonts w:ascii="Times New Roman" w:hAnsi="Times New Roman"/>
          <w:b/>
          <w:sz w:val="24"/>
        </w:rPr>
        <w:t>7. BUSINESS MODEL</w:t>
      </w:r>
    </w:p>
    <w:p>
      <w:pPr>
        <w:jc w:val="both"/>
      </w:pPr>
      <w:r>
        <w:rPr>
          <w:rFonts w:ascii="Times New Roman" w:hAnsi="Times New Roman"/>
          <w:sz w:val="24"/>
        </w:rPr>
        <w:t>StoreDot is developing extreme fast charging (XFC) lithium-ion battery technology aimed at overcoming key EV adoption barriers such as long charging times and charging anxiety. Their proprietary silicon-dominant anode batteries can charge 100 miles of range in about 5-10 minutes, with commercial readiness targeted for 2025 and ongoing testing with over 15 OEMs globally. The business model centers on licensing their scalable, drop-in battery technology to existing lithium-ion manufacturers and OEMs, leveraging a strong patent portfolio and compatibility with current production lines to enable rapid industry adoption. Customer segments include EV manufacturers and battery producers seeking to differentiate via superior charging speed and reliability. StoreDot’s go-to-market strategy involves partnerships with OEMs and manufacturing partners, positioning their technology as a necessary standard for mass EV adoption. The model is highly scalable due to compatibility with existing manufacturing infrastructure and a competitive cost structure aligned with industry trends. No recent pivots were identified; the company remains focused on commercializing its 100in5 XFC battery technology.</w:t>
      </w:r>
    </w:p>
    <w:p>
      <w:pPr>
        <w:jc w:val="both"/>
      </w:pPr>
      <w:r>
        <w:rPr>
          <w:rFonts w:ascii="Times New Roman" w:hAnsi="Times New Roman"/>
          <w:sz w:val="24"/>
        </w:rPr>
        <w:t>Sources: StoreDot April 2023 Corporate Overview; UBS Global EV Battery Makers report (cited in materials).</w:t>
      </w:r>
    </w:p>
    <w:p>
      <w:pPr>
        <w:jc w:val="both"/>
      </w:pPr>
      <w:r>
        <w:rPr>
          <w:rFonts w:ascii="Times New Roman" w:hAnsi="Times New Roman"/>
          <w:b/>
          <w:sz w:val="24"/>
        </w:rPr>
        <w:t>8. TECHNICAL DUE DILIGENCE</w:t>
      </w:r>
    </w:p>
    <w:p>
      <w:pPr>
        <w:jc w:val="both"/>
      </w:pPr>
      <w:r>
        <w:rPr>
          <w:rFonts w:ascii="Times New Roman" w:hAnsi="Times New Roman"/>
          <w:sz w:val="24"/>
        </w:rPr>
        <w:t>Maturity Level: production</w:t>
      </w:r>
    </w:p>
    <w:p>
      <w:pPr>
        <w:jc w:val="both"/>
      </w:pPr>
      <w:r>
        <w:rPr>
          <w:rFonts w:ascii="Times New Roman" w:hAnsi="Times New Roman"/>
          <w:sz w:val="24"/>
        </w:rPr>
        <w:t>Technical Moat: StoreDot has a 3-5 years' lead on alternative solutions with extreme fast charging technology</w:t>
      </w:r>
    </w:p>
    <w:p>
      <w:pPr>
        <w:jc w:val="both"/>
      </w:pPr>
      <w:r>
        <w:rPr>
          <w:rFonts w:ascii="Times New Roman" w:hAnsi="Times New Roman"/>
          <w:sz w:val="24"/>
        </w:rPr>
        <w:t>Tech Stack: N/A</w:t>
      </w:r>
    </w:p>
    <w:p>
      <w:pPr>
        <w:jc w:val="both"/>
      </w:pPr>
      <w:r>
        <w:rPr>
          <w:rFonts w:ascii="Times New Roman" w:hAnsi="Times New Roman"/>
          <w:sz w:val="24"/>
        </w:rPr>
        <w:t>Scalability:</w:t>
      </w:r>
    </w:p>
    <w:p>
      <w:pPr>
        <w:jc w:val="both"/>
      </w:pPr>
      <w:r>
        <w:rPr>
          <w:rFonts w:ascii="Times New Roman" w:hAnsi="Times New Roman"/>
          <w:sz w:val="24"/>
        </w:rPr>
        <w:t>Security:</w:t>
      </w:r>
    </w:p>
    <w:p>
      <w:pPr>
        <w:jc w:val="both"/>
      </w:pPr>
      <w:r>
        <w:rPr>
          <w:rFonts w:ascii="Times New Roman" w:hAnsi="Times New Roman"/>
          <w:b/>
          <w:sz w:val="24"/>
        </w:rPr>
        <w:t>9. PRODUCT DESCRIPTION</w:t>
      </w:r>
    </w:p>
    <w:p>
      <w:pPr>
        <w:jc w:val="both"/>
      </w:pPr>
      <w:r>
        <w:rPr>
          <w:rFonts w:ascii="Times New Roman" w:hAnsi="Times New Roman"/>
          <w:sz w:val="24"/>
        </w:rPr>
        <w:t>StoreDot has a 3-5 years' lead on alternative solutions with extreme fast charging technology</w:t>
      </w:r>
    </w:p>
    <w:p>
      <w:pPr>
        <w:jc w:val="both"/>
      </w:pPr>
      <w:r>
        <w:rPr>
          <w:rFonts w:ascii="Times New Roman" w:hAnsi="Times New Roman"/>
          <w:sz w:val="24"/>
        </w:rPr>
        <w:t>10. FINANCIAL ANALYSIS (with commentary on data availability)</w:t>
      </w:r>
    </w:p>
    <w:p>
      <w:pPr>
        <w:jc w:val="both"/>
      </w:pPr>
      <w:r>
        <w:rPr>
          <w:rFonts w:ascii="Times New Roman" w:hAnsi="Times New Roman"/>
          <w:sz w:val="24"/>
        </w:rPr>
        <w:t>Implied Valuation: $N/AM</w:t>
      </w:r>
    </w:p>
    <w:p>
      <w:pPr>
        <w:jc w:val="both"/>
      </w:pPr>
      <w:r>
        <w:rPr>
          <w:rFonts w:ascii="Times New Roman" w:hAnsi="Times New Roman"/>
          <w:sz w:val="24"/>
        </w:rPr>
        <w:t>Cash Burn (12 months): $N/AM</w:t>
      </w:r>
    </w:p>
    <w:p>
      <w:pPr>
        <w:jc w:val="both"/>
      </w:pPr>
      <w:r>
        <w:rPr>
          <w:rFonts w:ascii="Times New Roman" w:hAnsi="Times New Roman"/>
          <w:sz w:val="24"/>
        </w:rPr>
        <w:t>Runway: 0 months</w:t>
      </w:r>
    </w:p>
    <w:p>
      <w:pPr>
        <w:jc w:val="both"/>
      </w:pPr>
      <w:r>
        <w:rPr>
          <w:rFonts w:ascii="Times New Roman" w:hAnsi="Times New Roman"/>
          <w:sz w:val="24"/>
        </w:rPr>
        <w:t>Valuation Multiple: 0.0</w:t>
      </w:r>
    </w:p>
    <w:p>
      <w:pPr>
        <w:jc w:val="both"/>
      </w:pPr>
      <w:r>
        <w:rPr>
          <w:rFonts w:ascii="Times New Roman" w:hAnsi="Times New Roman"/>
          <w:sz w:val="24"/>
        </w:rPr>
        <w:t>Financial data is unavailable.</w:t>
      </w:r>
    </w:p>
    <w:p>
      <w:pPr>
        <w:jc w:val="both"/>
      </w:pPr>
      <w:r>
        <w:rPr>
          <w:rFonts w:ascii="Times New Roman" w:hAnsi="Times New Roman"/>
          <w:sz w:val="24"/>
        </w:rPr>
        <w:t>--- Extracted Tables (Financial) ---</w:t>
      </w:r>
    </w:p>
    <w:p>
      <w:pPr>
        <w:jc w:val="both"/>
      </w:pPr>
      <w:r>
        <w:rPr>
          <w:rFonts w:ascii="Times New Roman" w:hAnsi="Times New Roman"/>
          <w:b/>
          <w:sz w:val="24"/>
        </w:rPr>
        <w:t>11. TEAM &amp; MANAGEMENT</w:t>
      </w:r>
    </w:p>
    <w:p>
      <w:pPr>
        <w:jc w:val="both"/>
      </w:pPr>
      <w:r>
        <w:rPr>
          <w:rFonts w:ascii="Times New Roman" w:hAnsi="Times New Roman"/>
          <w:sz w:val="24"/>
        </w:rPr>
        <w:t>Founder: Doron Myersdorf</w:t>
      </w:r>
    </w:p>
    <w:p>
      <w:pPr>
        <w:jc w:val="both"/>
      </w:pPr>
      <w:r>
        <w:rPr>
          <w:rFonts w:ascii="Times New Roman" w:hAnsi="Times New Roman"/>
          <w:sz w:val="24"/>
        </w:rPr>
        <w:t>Founder Fit Score: 0.8 / 1.0</w:t>
      </w:r>
    </w:p>
    <w:p>
      <w:pPr>
        <w:jc w:val="both"/>
      </w:pPr>
      <w:r>
        <w:rPr>
          <w:rFonts w:ascii="Times New Roman" w:hAnsi="Times New Roman"/>
          <w:sz w:val="24"/>
        </w:rPr>
        <w:t>Prior Exits: 2</w:t>
      </w:r>
    </w:p>
    <w:p>
      <w:pPr>
        <w:jc w:val="both"/>
      </w:pPr>
      <w:r>
        <w:rPr>
          <w:rFonts w:ascii="Times New Roman" w:hAnsi="Times New Roman"/>
          <w:sz w:val="24"/>
        </w:rPr>
        <w:t>Sector Experience: Battery Technology</w:t>
      </w:r>
    </w:p>
    <w:p>
      <w:pPr>
        <w:jc w:val="both"/>
      </w:pPr>
      <w:r>
        <w:rPr>
          <w:rFonts w:ascii="Times New Roman" w:hAnsi="Times New Roman"/>
          <w:b/>
          <w:sz w:val="24"/>
        </w:rPr>
        <w:t>12. ESG CONSIDERATIONS</w:t>
      </w:r>
    </w:p>
    <w:p>
      <w:pPr>
        <w:jc w:val="both"/>
      </w:pPr>
      <w:r>
        <w:rPr>
          <w:rFonts w:ascii="Times New Roman" w:hAnsi="Times New Roman"/>
          <w:sz w:val="24"/>
        </w:rPr>
        <w:t>StoreDot is developing extreme fast charging (XFC) battery technology aimed at accelerating electric vehicle (EV) adoption by addressing key barriers such as charging time and infrastructure limitations. Their lithium-ion based solution promises charging times of 10 minutes for 100 miles, with high cycle life and minimal degradation, supporting sustainability through cobalt reduction and compatibility with existing manufacturing lines to reduce capital expenditure and waste. Socially, the technology targets alleviating "charging anxiety," improving user experience and EV accessibility, which can drive broader clean transportation adoption. Governance appears strong with a leadership team experienced in automotive and semiconductor industries, supported by a global advisory board of EV experts, indicating sound strategic oversight. However, there is limited public information on StoreDot’s environmental impact assessments, supply chain labor practices, or regulatory compliance beyond technology readiness, and no recent ESG controversies or news were identified in available sources. Further data on lifecycle emissions, sourcing ethics, and community engagement would be needed for a comprehensive ESG evaluation.</w:t>
      </w:r>
    </w:p>
    <w:p>
      <w:pPr>
        <w:jc w:val="both"/>
      </w:pPr>
      <w:r>
        <w:rPr>
          <w:rFonts w:ascii="Times New Roman" w:hAnsi="Times New Roman"/>
          <w:b/>
          <w:sz w:val="24"/>
        </w:rPr>
        <w:t>13. RISKS &amp; MITIGATIONS</w:t>
      </w:r>
    </w:p>
    <w:p>
      <w:pPr>
        <w:jc w:val="both"/>
      </w:pPr>
      <w:r>
        <w:rPr>
          <w:rFonts w:ascii="Times New Roman" w:hAnsi="Times New Roman"/>
          <w:sz w:val="24"/>
        </w:rPr>
        <w:t>Overall Risk Level: HIGH</w:t>
      </w:r>
    </w:p>
    <w:p>
      <w:pPr>
        <w:jc w:val="both"/>
      </w:pPr>
      <w:r>
        <w:rPr>
          <w:rFonts w:ascii="Times New Roman" w:hAnsi="Times New Roman"/>
          <w:sz w:val="24"/>
        </w:rPr>
        <w:t>Risk Score: N/A / 1.0</w:t>
      </w:r>
    </w:p>
    <w:p>
      <w:pPr>
        <w:jc w:val="both"/>
      </w:pPr>
      <w:r>
        <w:rPr>
          <w:rFonts w:ascii="Times New Roman" w:hAnsi="Times New Roman"/>
          <w:sz w:val="24"/>
        </w:rPr>
        <w:t>IDENTIFIED RISKS:</w:t>
      </w:r>
    </w:p>
    <w:p>
      <w:pPr>
        <w:jc w:val="both"/>
      </w:pPr>
      <w:r>
        <w:rPr>
          <w:rFonts w:ascii="Times New Roman" w:hAnsi="Times New Roman"/>
          <w:sz w:val="24"/>
        </w:rPr>
        <w:t>1. Market competition</w:t>
      </w:r>
    </w:p>
    <w:p>
      <w:pPr>
        <w:jc w:val="both"/>
      </w:pPr>
      <w:r>
        <w:rPr>
          <w:rFonts w:ascii="Times New Roman" w:hAnsi="Times New Roman"/>
          <w:sz w:val="24"/>
        </w:rPr>
        <w:t>2. Financial health</w:t>
      </w:r>
    </w:p>
    <w:p>
      <w:pPr>
        <w:jc w:val="both"/>
      </w:pPr>
      <w:r>
        <w:rPr>
          <w:rFonts w:ascii="Times New Roman" w:hAnsi="Times New Roman"/>
          <w:sz w:val="24"/>
        </w:rPr>
        <w:t>3. Regulatory risks</w:t>
      </w:r>
    </w:p>
    <w:p>
      <w:pPr>
        <w:jc w:val="both"/>
      </w:pPr>
      <w:r>
        <w:rPr>
          <w:rFonts w:ascii="Times New Roman" w:hAnsi="Times New Roman"/>
          <w:b/>
          <w:sz w:val="24"/>
        </w:rPr>
        <w:t>14. INVESTMENT &amp; EXIT STRATEGIES</w:t>
      </w:r>
    </w:p>
    <w:p>
      <w:pPr>
        <w:jc w:val="both"/>
      </w:pPr>
      <w:r>
        <w:rPr>
          <w:rFonts w:ascii="Times New Roman" w:hAnsi="Times New Roman"/>
          <w:sz w:val="24"/>
        </w:rPr>
        <w:t>Based on the information provided, StoreDot's extreme fast charging battery technology seems promising for the EV industry. With a 3-5 years lead on alternative solutions and ongoing testing by multiple OEMs, the company is commercially ready in 2025. Potential exit scenarios could include acquisition by a major EV manufacturer looking to enhance their charging capabilities or an IPO once the technology is proven in the market. However, more data on financials, market traction, and potential acquirers would be needed to provide a more detailed analysis.</w:t>
      </w:r>
    </w:p>
    <w:p>
      <w:pPr>
        <w:jc w:val="both"/>
      </w:pPr>
      <w:r>
        <w:rPr>
          <w:rFonts w:ascii="Times New Roman" w:hAnsi="Times New Roman"/>
          <w:sz w:val="24"/>
        </w:rPr>
        <w:t>15. FOLLOW-UP QUESTIONS &amp; NEXT STEPS</w:t>
      </w:r>
    </w:p>
    <w:p>
      <w:pPr>
        <w:jc w:val="both"/>
      </w:pPr>
      <w:r>
        <w:rPr>
          <w:rFonts w:ascii="Times New Roman" w:hAnsi="Times New Roman"/>
          <w:sz w:val="24"/>
        </w:rPr>
        <w:t>- **Technology Validation &amp; IP**</w:t>
      </w:r>
    </w:p>
    <w:p>
      <w:pPr>
        <w:jc w:val="both"/>
      </w:pPr>
      <w:r>
        <w:rPr>
          <w:rFonts w:ascii="Times New Roman" w:hAnsi="Times New Roman"/>
          <w:sz w:val="24"/>
        </w:rPr>
        <w:t>- Request detailed third-party test reports validating the 10-minute charging claim and &gt;1200 XFC cycles without degradation.</w:t>
      </w:r>
    </w:p>
    <w:p>
      <w:pPr>
        <w:jc w:val="both"/>
      </w:pPr>
      <w:r>
        <w:rPr>
          <w:rFonts w:ascii="Times New Roman" w:hAnsi="Times New Roman"/>
          <w:sz w:val="24"/>
        </w:rPr>
        <w:t>- Clarify the scope and geographic coverage of the 78 granted and 22 pending patents; assess freedom to operate and potential infringement risks.</w:t>
      </w:r>
    </w:p>
    <w:p>
      <w:pPr>
        <w:jc w:val="both"/>
      </w:pPr>
      <w:r>
        <w:rPr>
          <w:rFonts w:ascii="Times New Roman" w:hAnsi="Times New Roman"/>
          <w:sz w:val="24"/>
        </w:rPr>
        <w:t>- Understand any existing or potential technology limitations related to different EV models or battery form factors.</w:t>
      </w:r>
    </w:p>
    <w:p>
      <w:pPr>
        <w:jc w:val="both"/>
      </w:pPr>
      <w:r>
        <w:rPr>
          <w:rFonts w:ascii="Times New Roman" w:hAnsi="Times New Roman"/>
          <w:sz w:val="24"/>
        </w:rPr>
        <w:t>- **OEM &amp; Manufacturing Partnerships**</w:t>
      </w:r>
    </w:p>
    <w:p>
      <w:pPr>
        <w:jc w:val="both"/>
      </w:pPr>
      <w:r>
        <w:rPr>
          <w:rFonts w:ascii="Times New Roman" w:hAnsi="Times New Roman"/>
          <w:sz w:val="24"/>
        </w:rPr>
        <w:t>- Obtain a list of the &gt;15 OEMs and manufacturing partners currently testing the 100in5 cells, including stage of engagement and feedback received.</w:t>
      </w:r>
    </w:p>
    <w:p>
      <w:pPr>
        <w:jc w:val="both"/>
      </w:pPr>
      <w:r>
        <w:rPr>
          <w:rFonts w:ascii="Times New Roman" w:hAnsi="Times New Roman"/>
          <w:sz w:val="24"/>
        </w:rPr>
        <w:t>- Confirm commitments or LOIs from OEMs for commercial adoption starting 2025.</w:t>
      </w:r>
    </w:p>
    <w:p>
      <w:pPr>
        <w:jc w:val="both"/>
      </w:pPr>
      <w:r>
        <w:rPr>
          <w:rFonts w:ascii="Times New Roman" w:hAnsi="Times New Roman"/>
          <w:sz w:val="24"/>
        </w:rPr>
        <w:t>- Assess manufacturing scale-up plans, capacity, and timelines to meet projected demand.</w:t>
      </w:r>
    </w:p>
    <w:p>
      <w:pPr>
        <w:jc w:val="both"/>
      </w:pPr>
      <w:r>
        <w:rPr>
          <w:rFonts w:ascii="Times New Roman" w:hAnsi="Times New Roman"/>
          <w:sz w:val="24"/>
        </w:rPr>
        <w:t>- **Product Roadmap &amp; Differentiation**</w:t>
      </w:r>
    </w:p>
    <w:p>
      <w:pPr>
        <w:jc w:val="both"/>
      </w:pPr>
      <w:r>
        <w:rPr>
          <w:rFonts w:ascii="Times New Roman" w:hAnsi="Times New Roman"/>
          <w:sz w:val="24"/>
        </w:rPr>
        <w:t>- Request more details on the 2028 semi-solid and 2032 post-lithium battery technologies, including development risks and go-to-market strategy.</w:t>
      </w:r>
    </w:p>
    <w:p>
      <w:pPr>
        <w:jc w:val="both"/>
      </w:pPr>
      <w:r>
        <w:rPr>
          <w:rFonts w:ascii="Times New Roman" w:hAnsi="Times New Roman"/>
          <w:sz w:val="24"/>
        </w:rPr>
        <w:t>- Clarify how StoreDot’s chemistry and production process compare cost-wise and performance-wise to incumbent Li-ion and emerging solid-state batteries.</w:t>
      </w:r>
    </w:p>
    <w:p>
      <w:pPr>
        <w:jc w:val="both"/>
      </w:pPr>
      <w:r>
        <w:rPr>
          <w:rFonts w:ascii="Times New Roman" w:hAnsi="Times New Roman"/>
          <w:sz w:val="24"/>
        </w:rPr>
        <w:t>- **Market &amp; Competitive Landscape**</w:t>
      </w:r>
    </w:p>
    <w:p>
      <w:pPr>
        <w:jc w:val="both"/>
      </w:pPr>
      <w:r>
        <w:rPr>
          <w:rFonts w:ascii="Times New Roman" w:hAnsi="Times New Roman"/>
          <w:sz w:val="24"/>
        </w:rPr>
        <w:t>- Validate market assumptions on EV adoption and charging infrastructure growth, especially in key regions (US, EU, China).</w:t>
      </w:r>
    </w:p>
    <w:p>
      <w:pPr>
        <w:jc w:val="both"/>
      </w:pPr>
      <w:r>
        <w:rPr>
          <w:rFonts w:ascii="Times New Roman" w:hAnsi="Times New Roman"/>
          <w:sz w:val="24"/>
        </w:rPr>
        <w:t>- Identify direct competitors with similar XFC claims and their technology readiness timelines.</w:t>
      </w:r>
    </w:p>
    <w:p>
      <w:pPr>
        <w:jc w:val="both"/>
      </w:pPr>
      <w:r>
        <w:rPr>
          <w:rFonts w:ascii="Times New Roman" w:hAnsi="Times New Roman"/>
          <w:sz w:val="24"/>
        </w:rPr>
        <w:t>- Understand StoreDot’s strategy to address charging infrastructure standardization and interoperability challenges.</w:t>
      </w:r>
    </w:p>
    <w:p>
      <w:pPr>
        <w:jc w:val="both"/>
      </w:pPr>
      <w:r>
        <w:rPr>
          <w:rFonts w:ascii="Times New Roman" w:hAnsi="Times New Roman"/>
          <w:sz w:val="24"/>
        </w:rPr>
        <w:t>- **Financials &amp; Business Model**</w:t>
      </w:r>
    </w:p>
    <w:p>
      <w:pPr>
        <w:jc w:val="both"/>
      </w:pPr>
      <w:r>
        <w:rPr>
          <w:rFonts w:ascii="Times New Roman" w:hAnsi="Times New Roman"/>
          <w:sz w:val="24"/>
        </w:rPr>
        <w:t>- Request detailed financial projections, including revenue streams from licensing vs. cell sales.</w:t>
      </w:r>
    </w:p>
    <w:p>
      <w:pPr>
        <w:jc w:val="both"/>
      </w:pPr>
      <w:r>
        <w:rPr>
          <w:rFonts w:ascii="Times New Roman" w:hAnsi="Times New Roman"/>
          <w:sz w:val="24"/>
        </w:rPr>
        <w:t>- Clarify pricing strategy and expected cost per kWh relative to current Li-ion batteries.</w:t>
      </w:r>
    </w:p>
    <w:p>
      <w:pPr>
        <w:jc w:val="both"/>
      </w:pPr>
      <w:r>
        <w:rPr>
          <w:rFonts w:ascii="Times New Roman" w:hAnsi="Times New Roman"/>
          <w:sz w:val="24"/>
        </w:rPr>
        <w:t>- Understand capital expenditure requirements and funding plan to reach commercial production readiness in 2025.</w:t>
      </w:r>
    </w:p>
    <w:p>
      <w:pPr>
        <w:jc w:val="both"/>
      </w:pPr>
      <w:r>
        <w:rPr>
          <w:rFonts w:ascii="Times New Roman" w:hAnsi="Times New Roman"/>
          <w:sz w:val="24"/>
        </w:rPr>
        <w:t>- **Regulatory &amp; Sustainability**</w:t>
      </w:r>
    </w:p>
    <w:p>
      <w:pPr>
        <w:jc w:val="both"/>
      </w:pPr>
      <w:r>
        <w:rPr>
          <w:rFonts w:ascii="Times New Roman" w:hAnsi="Times New Roman"/>
          <w:sz w:val="24"/>
        </w:rPr>
        <w:t>- Confirm compliance with relevant automotive and battery safety standards.</w:t>
      </w:r>
    </w:p>
    <w:p>
      <w:pPr>
        <w:jc w:val="both"/>
      </w:pPr>
      <w:r>
        <w:rPr>
          <w:rFonts w:ascii="Times New Roman" w:hAnsi="Times New Roman"/>
          <w:sz w:val="24"/>
        </w:rPr>
        <w:t>- Detail cobalt reduction and sustainability initiatives, including supply chain risks.</w:t>
      </w:r>
    </w:p>
    <w:p>
      <w:pPr>
        <w:jc w:val="both"/>
      </w:pPr>
      <w:r>
        <w:rPr>
          <w:rFonts w:ascii="Times New Roman" w:hAnsi="Times New Roman"/>
          <w:sz w:val="24"/>
        </w:rPr>
        <w:t>- **Team &amp; Execution Risk**</w:t>
      </w:r>
    </w:p>
    <w:p>
      <w:pPr>
        <w:jc w:val="both"/>
      </w:pPr>
      <w:r>
        <w:rPr>
          <w:rFonts w:ascii="Times New Roman" w:hAnsi="Times New Roman"/>
          <w:sz w:val="24"/>
        </w:rPr>
        <w:t>- Assess depth of technical and commercial team beyond leadership bios.</w:t>
      </w:r>
    </w:p>
    <w:p>
      <w:pPr>
        <w:jc w:val="both"/>
      </w:pPr>
      <w:r>
        <w:rPr>
          <w:rFonts w:ascii="Times New Roman" w:hAnsi="Times New Roman"/>
          <w:sz w:val="24"/>
        </w:rPr>
        <w:t>- Review hiring plans and key hires needed to scale operations.</w:t>
      </w:r>
    </w:p>
    <w:p>
      <w:pPr>
        <w:jc w:val="both"/>
      </w:pPr>
      <w:r>
        <w:rPr>
          <w:rFonts w:ascii="Times New Roman" w:hAnsi="Times New Roman"/>
          <w:sz w:val="24"/>
        </w:rPr>
        <w:t>**Next Steps:**</w:t>
      </w:r>
    </w:p>
    <w:p>
      <w:pPr>
        <w:jc w:val="both"/>
      </w:pPr>
      <w:r>
        <w:rPr>
          <w:rFonts w:ascii="Times New Roman" w:hAnsi="Times New Roman"/>
          <w:sz w:val="24"/>
        </w:rPr>
        <w:t>- Schedule technical deep-dive with CTO and R&amp;D leads.</w:t>
      </w:r>
    </w:p>
    <w:p>
      <w:pPr>
        <w:jc w:val="both"/>
      </w:pPr>
      <w:r>
        <w:rPr>
          <w:rFonts w:ascii="Times New Roman" w:hAnsi="Times New Roman"/>
          <w:sz w:val="24"/>
        </w:rPr>
        <w:t>- Conduct reference checks with OEM partners.</w:t>
      </w:r>
    </w:p>
    <w:p>
      <w:pPr>
        <w:jc w:val="both"/>
      </w:pPr>
      <w:r>
        <w:rPr>
          <w:rFonts w:ascii="Times New Roman" w:hAnsi="Times New Roman"/>
          <w:sz w:val="24"/>
        </w:rPr>
        <w:t>- Engage independent battery experts for technology due diligence.</w:t>
      </w:r>
    </w:p>
    <w:p>
      <w:pPr>
        <w:jc w:val="both"/>
      </w:pPr>
      <w:r>
        <w:rPr>
          <w:rFonts w:ascii="Times New Roman" w:hAnsi="Times New Roman"/>
          <w:sz w:val="24"/>
        </w:rPr>
        <w:t>- Review detailed financial model and funding requirements.</w:t>
      </w:r>
    </w:p>
    <w:p>
      <w:pPr>
        <w:jc w:val="both"/>
      </w:pPr>
      <w:r>
        <w:rPr>
          <w:rFonts w:ascii="Times New Roman" w:hAnsi="Times New Roman"/>
          <w:sz w:val="24"/>
        </w:rPr>
        <w:t>- Monitor patent filings and competitive IP landscape.</w:t>
      </w:r>
    </w:p>
    <w:p>
      <w:pPr>
        <w:jc w:val="both"/>
      </w:pPr>
      <w:r>
        <w:rPr>
          <w:rFonts w:ascii="Times New Roman" w:hAnsi="Times New Roman"/>
          <w:sz w:val="24"/>
        </w:rPr>
        <w:t>If these areas are addressed satisfactorily, proceed to term sheet discussions.</w:t>
      </w:r>
    </w:p>
    <w:p>
      <w:pPr>
        <w:jc w:val="both"/>
      </w:pPr>
      <w:r>
        <w:rPr>
          <w:rFonts w:ascii="Times New Roman" w:hAnsi="Times New Roman"/>
          <w:b/>
          <w:sz w:val="24"/>
        </w:rPr>
        <w:t>16. FIGURES &amp; VISUALS</w:t>
      </w:r>
    </w:p>
    <w:p>
      <w:pPr>
        <w:jc w:val="both"/>
      </w:pPr>
      <w:r>
        <w:rPr>
          <w:rFonts w:ascii="Times New Roman" w:hAnsi="Times New Roman"/>
          <w:sz w:val="24"/>
        </w:rPr>
        <w:t>No figures extracted.</w:t>
      </w:r>
    </w:p>
    <w:p>
      <w:pPr>
        <w:jc w:val="both"/>
      </w:pPr>
      <w:r>
        <w:rPr>
          <w:rFonts w:ascii="Times New Roman" w:hAnsi="Times New Roman"/>
          <w:sz w:val="24"/>
        </w:rPr>
        <w:t>17. APPENDIX: ADDITIONAL TABLES</w:t>
      </w:r>
    </w:p>
    <w:p>
      <w:pPr>
        <w:jc w:val="both"/>
      </w:pPr>
      <w:r>
        <w:rPr>
          <w:rFonts w:ascii="Times New Roman" w:hAnsi="Times New Roman"/>
          <w:b/>
          <w:sz w:val="24"/>
        </w:rPr>
        <w:t>18. DISCUSSION &amp; ANALYST COMMENTARY</w:t>
      </w:r>
    </w:p>
    <w:p>
      <w:pPr>
        <w:jc w:val="both"/>
      </w:pPr>
      <w:r>
        <w:rPr>
          <w:rFonts w:ascii="Times New Roman" w:hAnsi="Times New Roman"/>
          <w:sz w:val="24"/>
        </w:rPr>
        <w:t>**Analyst Commentary on StoreDot Investment Memo**</w:t>
      </w:r>
    </w:p>
    <w:p>
      <w:pPr>
        <w:jc w:val="both"/>
      </w:pPr>
      <w:r>
        <w:rPr>
          <w:rFonts w:ascii="Times New Roman" w:hAnsi="Times New Roman"/>
          <w:sz w:val="24"/>
        </w:rPr>
        <w:t>---</w:t>
      </w:r>
    </w:p>
    <w:p>
      <w:pPr>
        <w:jc w:val="both"/>
      </w:pPr>
      <w:r>
        <w:rPr>
          <w:rFonts w:ascii="Times New Roman" w:hAnsi="Times New Roman"/>
          <w:sz w:val="24"/>
        </w:rPr>
        <w:t>### Key Strengths</w:t>
      </w:r>
    </w:p>
    <w:p>
      <w:pPr>
        <w:jc w:val="both"/>
      </w:pPr>
      <w:r>
        <w:rPr>
          <w:rFonts w:ascii="Times New Roman" w:hAnsi="Times New Roman"/>
          <w:sz w:val="24"/>
        </w:rPr>
        <w:t>- **Technological Lead &amp; IP Position:** StoreDot claims a 3-5 year lead in extreme fast charging (XFC) lithium-ion battery tech, supported by a strong patent portfolio (78 granted US patents). This moat is critical in a highly competitive and IP-sensitive battery sector.</w:t>
      </w:r>
    </w:p>
    <w:p>
      <w:pPr>
        <w:jc w:val="both"/>
      </w:pPr>
      <w:r>
        <w:rPr>
          <w:rFonts w:ascii="Times New Roman" w:hAnsi="Times New Roman"/>
          <w:sz w:val="24"/>
        </w:rPr>
        <w:t>- **Market Relevance &amp; Timing:** The technology directly addresses a well-known bottleneck in EV adoption—charging time and range anxiety—positioning StoreDot as a potential enabler of mass EV adoption. Commercial readiness targeted for 2025 aligns well with accelerating EV market growth.</w:t>
      </w:r>
    </w:p>
    <w:p>
      <w:pPr>
        <w:jc w:val="both"/>
      </w:pPr>
      <w:r>
        <w:rPr>
          <w:rFonts w:ascii="Times New Roman" w:hAnsi="Times New Roman"/>
          <w:sz w:val="24"/>
        </w:rPr>
        <w:t>- **Business Model &amp; Scalability:** Licensing a drop-in compatible technology to OEMs and battery manufacturers leverages existing manufacturing infrastructure, reducing capital intensity and enabling rapid scale. Partnerships with 15+ OEMs indicate strong industry interest.</w:t>
      </w:r>
    </w:p>
    <w:p>
      <w:pPr>
        <w:jc w:val="both"/>
      </w:pPr>
      <w:r>
        <w:rPr>
          <w:rFonts w:ascii="Times New Roman" w:hAnsi="Times New Roman"/>
          <w:sz w:val="24"/>
        </w:rPr>
        <w:t>- **Founder &amp; Team:** Founder Doron Myersdorf has relevant sector experience and prior exits, suggesting capable leadership.</w:t>
      </w:r>
    </w:p>
    <w:p>
      <w:pPr>
        <w:jc w:val="both"/>
      </w:pPr>
      <w:r>
        <w:rPr>
          <w:rFonts w:ascii="Times New Roman" w:hAnsi="Times New Roman"/>
          <w:sz w:val="24"/>
        </w:rPr>
        <w:t>- **ESG Alignment:** The technology supports sustainability goals by reducing charging times, potentially lowering cobalt usage, and integrating with existing manufacturing lines, which may reduce waste and capital expenditure.</w:t>
      </w:r>
    </w:p>
    <w:p>
      <w:pPr>
        <w:jc w:val="both"/>
      </w:pPr>
      <w:r>
        <w:rPr>
          <w:rFonts w:ascii="Times New Roman" w:hAnsi="Times New Roman"/>
          <w:sz w:val="24"/>
        </w:rPr>
        <w:t>### Key Weaknesses</w:t>
      </w:r>
    </w:p>
    <w:p>
      <w:pPr>
        <w:jc w:val="both"/>
      </w:pPr>
      <w:r>
        <w:rPr>
          <w:rFonts w:ascii="Times New Roman" w:hAnsi="Times New Roman"/>
          <w:sz w:val="24"/>
        </w:rPr>
        <w:t>- **Lack of Financial Transparency:** No financial data, valuation, or cash runway information is provided, raising concerns about financial health and funding sufficiency to reach commercialization.</w:t>
      </w:r>
    </w:p>
    <w:p>
      <w:pPr>
        <w:jc w:val="both"/>
      </w:pPr>
      <w:r>
        <w:rPr>
          <w:rFonts w:ascii="Times New Roman" w:hAnsi="Times New Roman"/>
          <w:sz w:val="24"/>
        </w:rPr>
        <w:t>- **Limited Team Information:** Beyond the founder, little is disclosed about the broader technical and commercial team, which is critical for execution at scale.</w:t>
      </w:r>
    </w:p>
    <w:p>
      <w:pPr>
        <w:jc w:val="both"/>
      </w:pPr>
      <w:r>
        <w:rPr>
          <w:rFonts w:ascii="Times New Roman" w:hAnsi="Times New Roman"/>
          <w:sz w:val="24"/>
        </w:rPr>
        <w:t>- **Unclear OEM Commitments:** While 15+ OEMs are testing the tech, no confirmed purchase orders, LOIs, or binding commitments are detailed, leaving commercial traction uncertain.</w:t>
      </w:r>
    </w:p>
    <w:p>
      <w:pPr>
        <w:jc w:val="both"/>
      </w:pPr>
      <w:r>
        <w:rPr>
          <w:rFonts w:ascii="Times New Roman" w:hAnsi="Times New Roman"/>
          <w:sz w:val="24"/>
        </w:rPr>
        <w:t>- **Technology Validation Gaps:** Independent third-party validation of the 5-10 minute charging claim and battery longevity (&gt;1200 cycles) is not provided, which is essential given the technical challenges of silicon-dominant anodes.</w:t>
      </w:r>
    </w:p>
    <w:p>
      <w:pPr>
        <w:jc w:val="both"/>
      </w:pPr>
      <w:r>
        <w:rPr>
          <w:rFonts w:ascii="Times New Roman" w:hAnsi="Times New Roman"/>
          <w:sz w:val="24"/>
        </w:rPr>
        <w:t>- **Competitive Landscape:** Competitors like QuantumScape and Sila Nanotechnologies are also advancing fast-charging or higher energy density batteries, potentially eroding StoreDot’s lead.</w:t>
      </w:r>
    </w:p>
    <w:p>
      <w:pPr>
        <w:jc w:val="both"/>
      </w:pPr>
      <w:r>
        <w:rPr>
          <w:rFonts w:ascii="Times New Roman" w:hAnsi="Times New Roman"/>
          <w:sz w:val="24"/>
        </w:rPr>
        <w:t>### Opportunities</w:t>
      </w:r>
    </w:p>
    <w:p>
      <w:pPr>
        <w:jc w:val="both"/>
      </w:pPr>
      <w:r>
        <w:rPr>
          <w:rFonts w:ascii="Times New Roman" w:hAnsi="Times New Roman"/>
          <w:sz w:val="24"/>
        </w:rPr>
        <w:t>- **Mass EV Adoption Catalyst:** If StoreDot delivers on its promise, it could become a critical technology standard, unlocking new markets and partnerships.</w:t>
      </w:r>
    </w:p>
    <w:p>
      <w:pPr>
        <w:jc w:val="both"/>
      </w:pPr>
      <w:r>
        <w:rPr>
          <w:rFonts w:ascii="Times New Roman" w:hAnsi="Times New Roman"/>
          <w:sz w:val="24"/>
        </w:rPr>
        <w:t>- **Licensing Revenue Model:** Licensing allows rapid scaling without heavy capital expenditure, enabling StoreDot to capture value across multiple OEMs and geographies.</w:t>
      </w:r>
    </w:p>
    <w:p>
      <w:pPr>
        <w:jc w:val="both"/>
      </w:pPr>
      <w:r>
        <w:rPr>
          <w:rFonts w:ascii="Times New Roman" w:hAnsi="Times New Roman"/>
          <w:sz w:val="24"/>
        </w:rPr>
        <w:t>- **Expansion into Next-Gen Batteries:** The roadmap includes semi-solid (2028) and post-lithium (2032) technologies, offering long-term growth potential beyond current lithium-ion solutions.</w:t>
      </w:r>
    </w:p>
    <w:p>
      <w:pPr>
        <w:jc w:val="both"/>
      </w:pPr>
      <w:r>
        <w:rPr>
          <w:rFonts w:ascii="Times New Roman" w:hAnsi="Times New Roman"/>
          <w:sz w:val="24"/>
        </w:rPr>
        <w:t>- **Strategic Acquisitions or IPO:** Given the strategic importance of battery tech, StoreDot could be an attractive acquisition target for major OEMs or battery manufacturers, or pursue a public listing once commercial traction is proven.</w:t>
      </w:r>
    </w:p>
    <w:p>
      <w:pPr>
        <w:jc w:val="both"/>
      </w:pPr>
      <w:r>
        <w:rPr>
          <w:rFonts w:ascii="Times New Roman" w:hAnsi="Times New Roman"/>
          <w:sz w:val="24"/>
        </w:rPr>
        <w:t>### Risks</w:t>
      </w:r>
    </w:p>
    <w:p>
      <w:pPr>
        <w:jc w:val="both"/>
      </w:pPr>
      <w:r>
        <w:rPr>
          <w:rFonts w:ascii="Times New Roman" w:hAnsi="Times New Roman"/>
          <w:sz w:val="24"/>
        </w:rPr>
        <w:t>- **Market &amp; Competitive Risk:** Rapid innovation in battery tech means StoreDot’s lead could be challenged by solid-state or alternative chemistries, especially if competitors achieve faster commercialization.</w:t>
      </w:r>
    </w:p>
    <w:p>
      <w:pPr>
        <w:jc w:val="both"/>
      </w:pPr>
      <w:r>
        <w:rPr>
          <w:rFonts w:ascii="Times New Roman" w:hAnsi="Times New Roman"/>
          <w:sz w:val="24"/>
        </w:rPr>
        <w:t>- **Financial Risk:** Unknown funding status and zero runway reported pose significant execution risk, especially given capital-intensive scale-up requirements.</w:t>
      </w:r>
    </w:p>
    <w:p>
      <w:pPr>
        <w:jc w:val="both"/>
      </w:pPr>
      <w:r>
        <w:rPr>
          <w:rFonts w:ascii="Times New Roman" w:hAnsi="Times New Roman"/>
          <w:sz w:val="24"/>
        </w:rPr>
        <w:t>- **Regulatory &amp; Safety Risks:** Compliance with automotive safety and battery standards is critical; any delays or failures could stall adoption.</w:t>
      </w:r>
    </w:p>
    <w:p>
      <w:pPr>
        <w:jc w:val="both"/>
      </w:pPr>
      <w:r>
        <w:rPr>
          <w:rFonts w:ascii="Times New Roman" w:hAnsi="Times New Roman"/>
          <w:sz w:val="24"/>
        </w:rPr>
        <w:t>- **Manufacturing Scale-Up Risk:** Transitioning from prototype/testing to mass production is non-trivial, particularly for novel silicon-dominant anode chemistries.</w:t>
      </w:r>
    </w:p>
    <w:p>
      <w:pPr>
        <w:jc w:val="both"/>
      </w:pPr>
      <w:r>
        <w:rPr>
          <w:rFonts w:ascii="Times New Roman" w:hAnsi="Times New Roman"/>
          <w:sz w:val="24"/>
        </w:rPr>
        <w:t>- **IP &amp; Freedom to Operate:** Potential infringement risks or patent challenges could arise given the crowded battery IP landscape.</w:t>
      </w:r>
    </w:p>
    <w:p>
      <w:pPr>
        <w:jc w:val="both"/>
      </w:pPr>
      <w:r>
        <w:rPr>
          <w:rFonts w:ascii="Times New Roman" w:hAnsi="Times New Roman"/>
          <w:sz w:val="24"/>
        </w:rPr>
        <w:t>### Actionable Recommendations for Investors</w:t>
      </w:r>
    </w:p>
    <w:p>
      <w:pPr>
        <w:jc w:val="both"/>
      </w:pPr>
      <w:r>
        <w:rPr>
          <w:rFonts w:ascii="Times New Roman" w:hAnsi="Times New Roman"/>
          <w:sz w:val="24"/>
        </w:rPr>
        <w:t>1. **Demand Comprehensive Due Diligence:** Prioritize obtaining third-party technical validation reports, detailed OEM engagement status, and independent IP freedom-to-operate analyses before proceeding.</w:t>
      </w:r>
    </w:p>
    <w:p>
      <w:pPr>
        <w:jc w:val="both"/>
      </w:pPr>
      <w:r>
        <w:rPr>
          <w:rFonts w:ascii="Times New Roman" w:hAnsi="Times New Roman"/>
          <w:sz w:val="24"/>
        </w:rPr>
        <w:t>2. **Clarify Financial Position:** Insist on transparent financials, including cash runway, burn rate, funding plans, and detailed revenue projections from licensing and potential cell sales.</w:t>
      </w:r>
    </w:p>
    <w:p>
      <w:pPr>
        <w:jc w:val="both"/>
      </w:pPr>
      <w:r>
        <w:rPr>
          <w:rFonts w:ascii="Times New Roman" w:hAnsi="Times New Roman"/>
          <w:sz w:val="24"/>
        </w:rPr>
        <w:t>3. **Assess Team Depth:** Evaluate the strength and scalability of the technical and commercial teams beyond the founder to ensure execution capability.</w:t>
      </w:r>
    </w:p>
    <w:p>
      <w:pPr>
        <w:jc w:val="both"/>
      </w:pPr>
      <w:r>
        <w:rPr>
          <w:rFonts w:ascii="Times New Roman" w:hAnsi="Times New Roman"/>
          <w:sz w:val="24"/>
        </w:rPr>
        <w:t>4. **Monitor Competitive Developments:** Track advancements from solid-state and other battery startups to reassess StoreDot’s technology lead over time.</w:t>
      </w:r>
    </w:p>
    <w:p>
      <w:pPr>
        <w:jc w:val="both"/>
      </w:pPr>
      <w:r>
        <w:rPr>
          <w:rFonts w:ascii="Times New Roman" w:hAnsi="Times New Roman"/>
          <w:sz w:val="24"/>
        </w:rPr>
        <w:t>5. **Structure Investment with Milestones:** Given high execution risk, consider staged funding tied to technical milestones (e.g., OEM commitments, production scale-up, regulatory approvals).</w:t>
      </w:r>
    </w:p>
    <w:p>
      <w:pPr>
        <w:jc w:val="both"/>
      </w:pPr>
      <w:r>
        <w:rPr>
          <w:rFonts w:ascii="Times New Roman" w:hAnsi="Times New Roman"/>
          <w:sz w:val="24"/>
        </w:rPr>
        <w:t>6. **Engage Independent Experts:** Commission battery technology experts to validate claims and assess manufacturing scalability.</w:t>
      </w:r>
    </w:p>
    <w:p>
      <w:pPr>
        <w:jc w:val="both"/>
      </w:pPr>
      <w:r>
        <w:rPr>
          <w:rFonts w:ascii="Times New Roman" w:hAnsi="Times New Roman"/>
          <w:sz w:val="24"/>
        </w:rPr>
        <w:t>7. **Prepare for Exit Scenarios:** Identify potential strategic acquirers early and monitor market conditions for a timely exit, whether via acquisition or IPO.</w:t>
      </w:r>
    </w:p>
    <w:p>
      <w:pPr>
        <w:jc w:val="both"/>
      </w:pPr>
      <w:r>
        <w:rPr>
          <w:rFonts w:ascii="Times New Roman" w:hAnsi="Times New Roman"/>
          <w:sz w:val="24"/>
        </w:rPr>
        <w:t>### Conclusion</w:t>
      </w:r>
    </w:p>
    <w:p>
      <w:pPr>
        <w:jc w:val="both"/>
      </w:pPr>
      <w:r>
        <w:rPr>
          <w:rFonts w:ascii="Times New Roman" w:hAnsi="Times New Roman"/>
          <w:sz w:val="24"/>
        </w:rPr>
        <w:t>StoreDot presents a compelling technological solution to a critical EV adoption barrier with a strong IP position and promising OEM interest. However, significant information gaps—particularly around financial health, commercial traction, and independent technology validation—introduce high execution risk. Investors should proceed cautiously, demanding rigorous due diligence and structuring investments to mitigate risks while capitalizing on the substantial market opportunity if StoreDot delivers on its promises.</w:t>
      </w:r>
    </w:p>
    <w:p>
      <w:pPr>
        <w:jc w:val="both"/>
      </w:pPr>
      <w:r>
        <w:rPr>
          <w:rFonts w:ascii="Times New Roman" w:hAnsi="Times New Roman"/>
          <w:sz w:val="24"/>
        </w:rPr>
        <w:t>Generated by VC Analysis System on July 11, 2025</w:t>
      </w:r>
    </w:p>
    <w:p>
      <w:pPr>
        <w:jc w:val="both"/>
      </w:pPr>
      <w:r>
        <w:rPr>
          <w:rFonts w:ascii="Times New Roman" w:hAnsi="Times New Roman"/>
          <w:sz w:val="24"/>
        </w:rPr>
        <w:t>Data Sources: Company documents, market research, competitive intelligence, technical analysis</w:t>
      </w:r>
    </w:p>
    <w:p>
      <w:pPr>
        <w:jc w:val="both"/>
      </w:pPr>
      <w:r>
        <w:rPr>
          <w:rFonts w:ascii="Times New Roman" w:hAnsi="Times New Roman"/>
          <w:sz w:val="24"/>
        </w:rPr>
        <w:t>Analysis Framework: Multi-agent AI system with specialized domain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drawing>
        <wp:inline xmlns:a="http://schemas.openxmlformats.org/drawingml/2006/main" xmlns:pic="http://schemas.openxmlformats.org/drawingml/2006/picture">
          <wp:extent cx="1828800" cy="1219200"/>
          <wp:docPr id="1" name="Picture 1"/>
          <wp:cNvGraphicFramePr>
            <a:graphicFrameLocks noChangeAspect="1"/>
          </wp:cNvGraphicFramePr>
          <a:graphic>
            <a:graphicData uri="http://schemas.openxmlformats.org/drawingml/2006/picture">
              <pic:pic>
                <pic:nvPicPr>
                  <pic:cNvPr id="0" name="uni_logo.png"/>
                  <pic:cNvPicPr/>
                </pic:nvPicPr>
                <pic:blipFill>
                  <a:blip r:embed="rId1"/>
                  <a:stretch>
                    <a:fillRect/>
                  </a:stretch>
                </pic:blipFill>
                <pic:spPr>
                  <a:xfrm>
                    <a:off x="0" y="0"/>
                    <a:ext cx="1828800" cy="121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