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995B27C" w14:textId="77777777" w:rsidR="00703322" w:rsidRDefault="001A3A2E" w:rsidP="00703322">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1DF7B2BD" w14:textId="77777777" w:rsidR="00703322" w:rsidRDefault="00703322" w:rsidP="00703322">
      <w:pPr>
        <w:spacing w:after="160" w:line="259" w:lineRule="auto"/>
        <w:rPr>
          <w:rFonts w:ascii="Menlo" w:hAnsi="Menlo" w:cs="Menlo"/>
          <w:color w:val="D8DEE9"/>
          <w:sz w:val="18"/>
          <w:szCs w:val="18"/>
        </w:rPr>
      </w:pPr>
    </w:p>
    <w:p w14:paraId="24F1EBB9" w14:textId="77777777" w:rsidR="00703322" w:rsidRDefault="00703322" w:rsidP="00703322">
      <w:pPr>
        <w:spacing w:after="160" w:line="259" w:lineRule="auto"/>
        <w:rPr>
          <w:rFonts w:ascii="Menlo" w:hAnsi="Menlo" w:cs="Menlo"/>
          <w:color w:val="D8DEE9"/>
          <w:sz w:val="18"/>
          <w:szCs w:val="18"/>
        </w:rPr>
      </w:pPr>
    </w:p>
    <w:p w14:paraId="17A5DC13" w14:textId="4F8463B5" w:rsidR="00702FCC" w:rsidRPr="00703322" w:rsidRDefault="00702FCC" w:rsidP="00686276">
      <w:pPr>
        <w:spacing w:after="160" w:line="259" w:lineRule="auto"/>
        <w:jc w:val="center"/>
        <w:rPr>
          <w:lang w:val="en-US"/>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13, 2025 at 02:56 PM</w:t>
      </w:r>
    </w:p>
    <w:p w14:paraId="014DC5EA" w14:textId="77777777" w:rsidR="00702FCC" w:rsidRDefault="00702FCC" w:rsidP="001A3A2E">
      <w:pPr>
        <w:spacing w:after="160" w:line="259" w:lineRule="auto"/>
        <w:jc w:val="center"/>
        <w:rPr>
          <w:rFonts w:ascii="Menlo" w:hAnsi="Menlo" w:cs="Menlo"/>
          <w:color w:val="D8DEE9"/>
          <w:sz w:val="18"/>
          <w:szCs w:val="18"/>
        </w:rPr>
      </w:pPr>
    </w:p>
    <w:p w14:paraId="7F965642" w14:textId="77777777" w:rsidR="00702FCC" w:rsidRDefault="00702FCC" w:rsidP="001A3A2E">
      <w:pPr>
        <w:spacing w:after="160" w:line="259" w:lineRule="auto"/>
        <w:jc w:val="center"/>
        <w:rPr>
          <w:rFonts w:ascii="Menlo" w:hAnsi="Menlo" w:cs="Menlo"/>
          <w:color w:val="D8DEE9"/>
          <w:sz w:val="18"/>
          <w:szCs w:val="18"/>
        </w:rPr>
      </w:pPr>
    </w:p>
    <w:p w14:paraId="2B894E95" w14:textId="77777777" w:rsidR="00702FCC" w:rsidRDefault="00702FCC" w:rsidP="001A3A2E">
      <w:pPr>
        <w:spacing w:after="160" w:line="259" w:lineRule="auto"/>
        <w:jc w:val="center"/>
        <w:rPr>
          <w:rFonts w:ascii="Menlo" w:hAnsi="Menlo" w:cs="Menlo"/>
          <w:color w:val="D8DEE9"/>
          <w:sz w:val="18"/>
          <w:szCs w:val="18"/>
        </w:rPr>
      </w:pPr>
    </w:p>
    <w:p w14:paraId="6E22BD3D" w14:textId="77777777" w:rsidR="00702FCC" w:rsidRDefault="00702FCC" w:rsidP="001A3A2E">
      <w:pPr>
        <w:spacing w:after="160" w:line="259" w:lineRule="auto"/>
        <w:jc w:val="center"/>
        <w:rPr>
          <w:rFonts w:ascii="Menlo" w:hAnsi="Menlo" w:cs="Menlo"/>
          <w:color w:val="D8DEE9"/>
          <w:sz w:val="18"/>
          <w:szCs w:val="18"/>
        </w:rPr>
      </w:pPr>
    </w:p>
    <w:p w14:paraId="5B842F05" w14:textId="77777777" w:rsidR="00702FCC" w:rsidRDefault="00702FCC" w:rsidP="001A3A2E">
      <w:pPr>
        <w:spacing w:after="160" w:line="259" w:lineRule="auto"/>
        <w:jc w:val="center"/>
        <w:rPr>
          <w:rFonts w:ascii="Menlo" w:hAnsi="Menlo" w:cs="Menlo"/>
          <w:color w:val="D8DEE9"/>
          <w:sz w:val="18"/>
          <w:szCs w:val="18"/>
        </w:rPr>
      </w:pPr>
    </w:p>
    <w:p w14:paraId="76AD162C" w14:textId="77777777" w:rsidR="00702FCC" w:rsidRDefault="00702FCC" w:rsidP="001A3A2E">
      <w:pPr>
        <w:spacing w:after="160" w:line="259" w:lineRule="auto"/>
        <w:jc w:val="center"/>
        <w:rPr>
          <w:rFonts w:ascii="Menlo" w:hAnsi="Menlo" w:cs="Menlo"/>
          <w:color w:val="D8DEE9"/>
          <w:sz w:val="18"/>
          <w:szCs w:val="18"/>
        </w:rPr>
      </w:pPr>
    </w:p>
    <w:p w14:paraId="3C39B1ED" w14:textId="77777777" w:rsidR="00702FCC" w:rsidRDefault="00702FCC" w:rsidP="001A3A2E">
      <w:pPr>
        <w:spacing w:after="160" w:line="259" w:lineRule="auto"/>
        <w:jc w:val="center"/>
        <w:rPr>
          <w:rFonts w:ascii="Menlo" w:hAnsi="Menlo" w:cs="Menlo"/>
          <w:color w:val="D8DEE9"/>
          <w:sz w:val="18"/>
          <w:szCs w:val="18"/>
        </w:rPr>
      </w:pPr>
    </w:p>
    <w:p w14:paraId="2B1E280D" w14:textId="77777777" w:rsidR="00702FCC" w:rsidRDefault="00702FCC" w:rsidP="001A3A2E">
      <w:pPr>
        <w:spacing w:after="160" w:line="259" w:lineRule="auto"/>
        <w:jc w:val="center"/>
        <w:rPr>
          <w:rFonts w:ascii="Menlo" w:hAnsi="Menlo" w:cs="Menlo"/>
          <w:color w:val="D8DEE9"/>
          <w:sz w:val="18"/>
          <w:szCs w:val="18"/>
        </w:rPr>
      </w:pPr>
    </w:p>
    <w:p w14:paraId="161CFFB7" w14:textId="77777777" w:rsidR="00702FCC" w:rsidRDefault="00702FCC" w:rsidP="001A3A2E">
      <w:pPr>
        <w:spacing w:after="160" w:line="259" w:lineRule="auto"/>
        <w:jc w:val="center"/>
        <w:rPr>
          <w:rFonts w:ascii="Menlo" w:hAnsi="Menlo" w:cs="Menlo"/>
          <w:color w:val="D8DEE9"/>
          <w:sz w:val="18"/>
          <w:szCs w:val="18"/>
        </w:rPr>
      </w:pPr>
    </w:p>
    <w:p w14:paraId="7399C058" w14:textId="77777777" w:rsidR="00702FCC" w:rsidRDefault="00702FCC" w:rsidP="001A3A2E">
      <w:pPr>
        <w:spacing w:after="160" w:line="259" w:lineRule="auto"/>
        <w:jc w:val="center"/>
        <w:rPr>
          <w:rFonts w:ascii="Menlo" w:hAnsi="Menlo" w:cs="Menlo"/>
          <w:color w:val="D8DEE9"/>
          <w:sz w:val="18"/>
          <w:szCs w:val="18"/>
        </w:rPr>
      </w:pPr>
    </w:p>
    <w:p w14:paraId="5D7F161C" w14:textId="77777777" w:rsidR="00702FCC" w:rsidRDefault="00702FCC" w:rsidP="001A3A2E">
      <w:pPr>
        <w:spacing w:after="160" w:line="259" w:lineRule="auto"/>
        <w:jc w:val="center"/>
        <w:rPr>
          <w:rFonts w:ascii="Menlo" w:hAnsi="Menlo" w:cs="Menlo"/>
          <w:color w:val="D8DEE9"/>
          <w:sz w:val="18"/>
          <w:szCs w:val="18"/>
        </w:rPr>
      </w:pPr>
    </w:p>
    <w:p w14:paraId="1EFE5BE7" w14:textId="77777777" w:rsidR="00702FCC" w:rsidRDefault="00702FCC" w:rsidP="001A3A2E">
      <w:pPr>
        <w:spacing w:after="160" w:line="259" w:lineRule="auto"/>
        <w:jc w:val="center"/>
        <w:rPr>
          <w:rFonts w:ascii="Menlo" w:hAnsi="Menlo" w:cs="Menlo"/>
          <w:color w:val="D8DEE9"/>
          <w:sz w:val="18"/>
          <w:szCs w:val="18"/>
        </w:rPr>
      </w:pPr>
    </w:p>
    <w:p w14:paraId="050316B2" w14:textId="77777777" w:rsidR="00702FCC" w:rsidRDefault="00702FCC" w:rsidP="001A3A2E">
      <w:pPr>
        <w:spacing w:after="160" w:line="259" w:lineRule="auto"/>
        <w:jc w:val="center"/>
        <w:rPr>
          <w:rFonts w:ascii="Menlo" w:hAnsi="Menlo" w:cs="Menlo"/>
          <w:color w:val="D8DEE9"/>
          <w:sz w:val="18"/>
          <w:szCs w:val="18"/>
        </w:rPr>
      </w:pPr>
    </w:p>
    <w:p w14:paraId="70D761EC" w14:textId="77777777" w:rsidR="00702FCC" w:rsidRDefault="00702FCC" w:rsidP="001A3A2E">
      <w:pPr>
        <w:spacing w:after="160" w:line="259" w:lineRule="auto"/>
        <w:jc w:val="center"/>
        <w:rPr>
          <w:rFonts w:ascii="Menlo" w:hAnsi="Menlo" w:cs="Menlo"/>
          <w:color w:val="D8DEE9"/>
          <w:sz w:val="18"/>
          <w:szCs w:val="18"/>
        </w:rPr>
      </w:pPr>
    </w:p>
    <w:p w14:paraId="6A64ACF3" w14:textId="77777777" w:rsidR="00CE797F" w:rsidRDefault="00CE797F" w:rsidP="001A3A2E">
      <w:pPr>
        <w:spacing w:after="160" w:line="259" w:lineRule="auto"/>
        <w:jc w:val="center"/>
        <w:rPr>
          <w:rFonts w:ascii="Menlo" w:hAnsi="Menlo" w:cs="Menlo"/>
          <w:color w:val="D8DEE9"/>
          <w:sz w:val="18"/>
          <w:szCs w:val="18"/>
        </w:rPr>
      </w:pPr>
    </w:p>
    <w:p w14:paraId="023D49B4" w14:textId="77777777" w:rsidR="00CE797F" w:rsidRDefault="00CE797F" w:rsidP="001A3A2E">
      <w:pPr>
        <w:spacing w:after="160" w:line="259" w:lineRule="auto"/>
        <w:jc w:val="center"/>
        <w:rPr>
          <w:rFonts w:ascii="Menlo" w:hAnsi="Menlo" w:cs="Menlo"/>
          <w:color w:val="D8DEE9"/>
          <w:sz w:val="18"/>
          <w:szCs w:val="18"/>
        </w:rPr>
      </w:pPr>
    </w:p>
    <w:p w14:paraId="0E6225F1" w14:textId="246BB6DF" w:rsidR="00702FCC" w:rsidRDefault="00702FCC" w:rsidP="00702FCC">
      <w:pPr>
        <w:spacing w:after="160" w:line="360" w:lineRule="auto"/>
        <w:jc w:val="both"/>
        <w:rPr>
          <w:lang w:val="en-US"/>
        </w:rPr>
      </w:pPr>
      <w:r>
        <w:rPr>
          <w:rFonts w:ascii="Times New Roman" w:hAnsi="Times New Roman"/>
          <w:sz w:val="24"/>
        </w:rPr>
        <w:t>INVESTMENT MEMORANDUM – StoreDot</w:t>
      </w:r>
    </w:p>
    <w:p>
      <w:pPr>
        <w:spacing w:line="360" w:lineRule="auto"/>
        <w:jc w:val="both"/>
      </w:pPr>
      <w:r>
        <w:rPr>
          <w:rFonts w:ascii="Times New Roman" w:hAnsi="Times New Roman"/>
          <w:sz w:val="24"/>
        </w:rPr>
        <w:t>(Prepared July 13, 2025)</w:t>
      </w:r>
    </w:p>
    <w:p>
      <w:pPr>
        <w:spacing w:line="360" w:lineRule="auto"/>
        <w:jc w:val="both"/>
      </w:pPr>
      <w:r>
        <w:rPr>
          <w:rFonts w:ascii="Times New Roman" w:hAnsi="Times New Roman"/>
          <w:b/>
          <w:sz w:val="24"/>
        </w:rPr>
        <w:t>1. DETAILED SUMMARY</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StoreDot, founded by Doron Myersdorf,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r>
    </w:p>
    <w:p>
      <w:pPr>
        <w:spacing w:line="360" w:lineRule="auto"/>
        <w:jc w:val="both"/>
      </w:pPr>
      <w:r>
        <w:rPr>
          <w:rFonts w:ascii="Times New Roman" w:hAnsi="Times New Roman"/>
          <w:sz w:val="24"/>
        </w:rPr>
        <w:t>2. COMPANY OVERVIEW (including team and website)</w:t>
      </w:r>
    </w:p>
    <w:p>
      <w:pPr>
        <w:spacing w:line="360" w:lineRule="auto"/>
        <w:jc w:val="both"/>
      </w:pPr>
      <w:r>
        <w:rPr>
          <w:rFonts w:ascii="Times New Roman" w:hAnsi="Times New Roman"/>
          <w:sz w:val="24"/>
        </w:rPr>
        <w:t>Company: StoreDot</w:t>
      </w:r>
    </w:p>
    <w:p>
      <w:pPr>
        <w:spacing w:line="360" w:lineRule="auto"/>
        <w:jc w:val="both"/>
      </w:pPr>
      <w:r>
        <w:rPr>
          <w:rFonts w:ascii="Times New Roman" w:hAnsi="Times New Roman"/>
          <w:sz w:val="24"/>
        </w:rPr>
        <w:t>Sector: Battery Technology</w:t>
      </w:r>
    </w:p>
    <w:p>
      <w:pPr>
        <w:spacing w:line="360" w:lineRule="auto"/>
        <w:jc w:val="both"/>
      </w:pPr>
      <w:r>
        <w:rPr>
          <w:rFonts w:ascii="Times New Roman" w:hAnsi="Times New Roman"/>
          <w:sz w:val="24"/>
        </w:rPr>
        <w:t>Website: The official website for the company StoreDot is https://storedot.com.</w:t>
      </w:r>
    </w:p>
    <w:p>
      <w:pPr>
        <w:spacing w:line="360" w:lineRule="auto"/>
        <w:jc w:val="both"/>
      </w:pPr>
      <w:r>
        <w:rPr>
          <w:rFonts w:ascii="Times New Roman" w:hAnsi="Times New Roman"/>
          <w:sz w:val="24"/>
        </w:rPr>
        <w:t>Funding Stage: unknown</w:t>
      </w:r>
    </w:p>
    <w:p>
      <w:pPr>
        <w:spacing w:line="360" w:lineRule="auto"/>
        <w:jc w:val="both"/>
      </w:pPr>
      <w:r>
        <w:rPr>
          <w:rFonts w:ascii="Times New Roman" w:hAnsi="Times New Roman"/>
          <w:sz w:val="24"/>
        </w:rPr>
        <w:t>Team: Doron Myersdorf</w:t>
      </w:r>
    </w:p>
    <w:p>
      <w:pPr>
        <w:spacing w:line="360" w:lineRule="auto"/>
        <w:jc w:val="both"/>
      </w:pPr>
      <w:r>
        <w:rPr>
          <w:rFonts w:ascii="Times New Roman" w:hAnsi="Times New Roman"/>
          <w:b/>
          <w:sz w:val="24"/>
        </w:rPr>
        <w:t>3. PROBLEM STATEMENT</w:t>
      </w:r>
    </w:p>
    <w:p>
      <w:pPr>
        <w:spacing w:line="360" w:lineRule="auto"/>
        <w:jc w:val="both"/>
      </w:pPr>
      <w:r>
        <w:rPr>
          <w:rFonts w:ascii="Times New Roman" w:hAnsi="Times New Roman"/>
          <w:sz w:val="24"/>
        </w:rP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pPr>
        <w:spacing w:line="360" w:lineRule="auto"/>
        <w:jc w:val="both"/>
      </w:pPr>
      <w:r>
        <w:rPr>
          <w:rFonts w:ascii="Times New Roman" w:hAnsi="Times New Roman"/>
          <w:b/>
          <w:sz w:val="24"/>
        </w:rPr>
        <w:t>4. SOLUTION OVERVIEW</w:t>
      </w:r>
    </w:p>
    <w:p>
      <w:pPr>
        <w:spacing w:line="360" w:lineRule="auto"/>
        <w:jc w:val="both"/>
      </w:pPr>
      <w:r>
        <w:rPr>
          <w:rFonts w:ascii="Times New Roman" w:hAnsi="Times New Roman"/>
          <w:sz w:val="24"/>
        </w:rP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r>
    </w:p>
    <w:p>
      <w:pPr>
        <w:spacing w:line="360" w:lineRule="auto"/>
        <w:jc w:val="both"/>
      </w:pPr>
      <w:r>
        <w:rPr>
          <w:rFonts w:ascii="Times New Roman" w:hAnsi="Times New Roman"/>
          <w:b/>
          <w:sz w:val="24"/>
        </w:rPr>
        <w:t>5. MARKET SIZE &amp; ANALYSIS</w:t>
      </w:r>
    </w:p>
    <w:p>
      <w:pPr>
        <w:spacing w:line="360" w:lineRule="auto"/>
        <w:jc w:val="both"/>
      </w:pPr>
      <w:r>
        <w:rPr>
          <w:rFonts w:ascii="Times New Roman" w:hAnsi="Times New Roman"/>
          <w:sz w:val="24"/>
        </w:rPr>
        <w:t>TAM: $120000.0M (Source: StoreDot April 2023 Corporate Overview)</w:t>
      </w:r>
    </w:p>
    <w:p>
      <w:pPr>
        <w:spacing w:line="360" w:lineRule="auto"/>
        <w:jc w:val="both"/>
      </w:pPr>
      <w:r>
        <w:rPr>
          <w:rFonts w:ascii="Times New Roman" w:hAnsi="Times New Roman"/>
          <w:sz w:val="24"/>
        </w:rPr>
        <w:t>SAM: $30000.0M (Source: StoreDot April 2023 Corporate Overview)</w:t>
      </w:r>
    </w:p>
    <w:p>
      <w:pPr>
        <w:spacing w:line="360" w:lineRule="auto"/>
        <w:jc w:val="both"/>
      </w:pPr>
      <w:r>
        <w:rPr>
          <w:rFonts w:ascii="Times New Roman" w:hAnsi="Times New Roman"/>
          <w:sz w:val="24"/>
        </w:rPr>
        <w:t>SOM: $6000.0M (Source: StoreDot April 2023 Corporate Overview)</w:t>
      </w:r>
    </w:p>
    <w:p>
      <w:pPr>
        <w:spacing w:line="360" w:lineRule="auto"/>
        <w:jc w:val="both"/>
      </w:pPr>
      <w:r>
        <w:rPr>
          <w:rFonts w:ascii="Times New Roman" w:hAnsi="Times New Roman"/>
          <w:sz w:val="24"/>
        </w:rPr>
        <w:t>Market Penetration Potential: 5.0%</w:t>
      </w:r>
    </w:p>
    <w:p>
      <w:pPr>
        <w:spacing w:line="360" w:lineRule="auto"/>
        <w:jc w:val="both"/>
      </w:pPr>
      <w:r>
        <w:rPr>
          <w:rFonts w:ascii="Times New Roman" w:hAnsi="Times New Roman"/>
          <w:sz w:val="24"/>
        </w:rPr>
        <w:t>Battery Technology</w:t>
      </w:r>
    </w:p>
    <w:p>
      <w:pPr>
        <w:spacing w:line="360" w:lineRule="auto"/>
        <w:jc w:val="both"/>
      </w:pPr>
      <w:r>
        <w:rPr>
          <w:rFonts w:ascii="Times New Roman" w:hAnsi="Times New Roman"/>
          <w:sz w:val="24"/>
        </w:rPr>
        <w:t>--- Extracted Tables ---</w:t>
      </w:r>
    </w:p>
    <w:p>
      <w:pPr>
        <w:spacing w:line="360" w:lineRule="auto"/>
        <w:jc w:val="both"/>
      </w:pPr>
      <w:r>
        <w:rPr>
          <w:rFonts w:ascii="Times New Roman" w:hAnsi="Times New Roman"/>
          <w:sz w:val="24"/>
        </w:rPr>
        <w:t>No tables extracted.</w:t>
      </w:r>
    </w:p>
    <w:p>
      <w:pPr>
        <w:spacing w:line="360" w:lineRule="auto"/>
        <w:jc w:val="both"/>
      </w:pPr>
      <w:r>
        <w:rPr>
          <w:rFonts w:ascii="Times New Roman" w:hAnsi="Times New Roman"/>
          <w:sz w:val="24"/>
        </w:rPr>
        <w:t>6. COMPETITIVE LANDSCAPE (with identified competitors)</w:t>
      </w:r>
    </w:p>
    <w:p>
      <w:pPr>
        <w:spacing w:line="360" w:lineRule="auto"/>
        <w:jc w:val="both"/>
      </w:pPr>
      <w:r>
        <w:rPr>
          <w:rFonts w:ascii="Times New Roman" w:hAnsi="Times New Roman"/>
          <w:sz w:val="24"/>
        </w:rPr>
        <w:t>QuantumScape: Developing solid-state lithium-metal batteries with higher energy density and faster charging capabilities..</w:t>
      </w:r>
    </w:p>
    <w:p>
      <w:pPr>
        <w:spacing w:line="360" w:lineRule="auto"/>
        <w:jc w:val="both"/>
      </w:pPr>
      <w:r>
        <w:rPr>
          <w:rFonts w:ascii="Times New Roman" w:hAnsi="Times New Roman"/>
          <w:sz w:val="24"/>
        </w:rPr>
        <w:t>Sila Nanotechnologies: Innovating silicon-based anode materials to improve lithium-ion battery performance and energy density..</w:t>
      </w:r>
    </w:p>
    <w:p>
      <w:pPr>
        <w:spacing w:line="360" w:lineRule="auto"/>
        <w:jc w:val="both"/>
      </w:pPr>
      <w:r>
        <w:rPr>
          <w:rFonts w:ascii="Times New Roman" w:hAnsi="Times New Roman"/>
          <w:sz w:val="24"/>
        </w:rPr>
        <w:t>Solid Power: Focused on all-solid-state battery technology targeting safer, higher capacity batteries for electric vehicles..</w:t>
      </w:r>
    </w:p>
    <w:p>
      <w:pPr>
        <w:spacing w:line="360" w:lineRule="auto"/>
        <w:jc w:val="both"/>
      </w:pPr>
      <w:r>
        <w:rPr>
          <w:rFonts w:ascii="Times New Roman" w:hAnsi="Times New Roman"/>
          <w:b/>
          <w:sz w:val="24"/>
        </w:rPr>
        <w:t>7. BUSINESS MODEL</w:t>
      </w:r>
    </w:p>
    <w:p>
      <w:pPr>
        <w:spacing w:line="360" w:lineRule="auto"/>
        <w:jc w:val="both"/>
      </w:pPr>
      <w:r>
        <w:rPr>
          <w:rFonts w:ascii="Times New Roman" w:hAnsi="Times New Roman"/>
          <w:sz w:val="24"/>
        </w:rPr>
        <w:t>StoreDot is a battery technology startup focused on enabling extreme fast charging (XFC) for electric vehicles (EVs), aiming to eliminate "charging anxiety" by delivering a 100-mile range charge in about 5-10 minutes. Their business model centers on licensing their proprietary silicon-dominant anode lithium-ion battery technology, which is compatible with existing Li-ion manufacturing lines, to OEMs and battery manufacturers globally. Key revenue streams likely include technology licensing fees, partnerships with OEMs, and possibly joint ventures or manufacturing collaborations. Their primary customer segments are automotive OEMs and battery producers targeting mass-market BEVs, especially in regions with high EV adoption forecasts like the US, EU, and China. StoreDot’s go-to-market strategy leverages ongoing testing and validation with over 15 OEMs and manufacturing partners, aiming for commercial readiness by 2025, positioning itself as a scalable, cost-competitive solution aligned with industry timelines. Recent materials indicate no major pivots but emphasize a clear roadmap toward semi-solid and post-lithium batteries by 2028 and 2032, respectively, maintaining a leadership position in fast-charging battery tech. Sources: StoreDot April 2023 corporate overview; UBS EV market data cited therein.</w:t>
      </w:r>
    </w:p>
    <w:p>
      <w:pPr>
        <w:spacing w:line="360" w:lineRule="auto"/>
        <w:jc w:val="both"/>
      </w:pPr>
      <w:r>
        <w:rPr>
          <w:rFonts w:ascii="Times New Roman" w:hAnsi="Times New Roman"/>
          <w:b/>
          <w:sz w:val="24"/>
        </w:rPr>
        <w:t>8. TECHNICAL DUE DILIGENCE</w:t>
      </w:r>
    </w:p>
    <w:p>
      <w:pPr>
        <w:spacing w:line="360" w:lineRule="auto"/>
        <w:jc w:val="both"/>
      </w:pPr>
      <w:r>
        <w:rPr>
          <w:rFonts w:ascii="Times New Roman" w:hAnsi="Times New Roman"/>
          <w:sz w:val="24"/>
        </w:rPr>
        <w:t>Maturity Level: production</w:t>
      </w:r>
    </w:p>
    <w:p>
      <w:pPr>
        <w:spacing w:line="360" w:lineRule="auto"/>
        <w:jc w:val="both"/>
      </w:pPr>
      <w:r>
        <w:rPr>
          <w:rFonts w:ascii="Times New Roman" w:hAnsi="Times New Roman"/>
          <w:sz w:val="24"/>
        </w:rPr>
        <w:t>Technical Moat: Leading extreme fast charging technology with proven performance and scalability</w:t>
      </w:r>
    </w:p>
    <w:p>
      <w:pPr>
        <w:spacing w:line="360" w:lineRule="auto"/>
        <w:jc w:val="both"/>
      </w:pPr>
      <w:r>
        <w:rPr>
          <w:rFonts w:ascii="Times New Roman" w:hAnsi="Times New Roman"/>
          <w:sz w:val="24"/>
        </w:rPr>
        <w:t>Tech Stack: N/A</w:t>
      </w:r>
    </w:p>
    <w:p>
      <w:pPr>
        <w:spacing w:line="360" w:lineRule="auto"/>
        <w:jc w:val="both"/>
      </w:pPr>
      <w:r>
        <w:rPr>
          <w:rFonts w:ascii="Times New Roman" w:hAnsi="Times New Roman"/>
          <w:sz w:val="24"/>
        </w:rPr>
        <w:t>Scalability:</w:t>
      </w:r>
    </w:p>
    <w:p>
      <w:pPr>
        <w:spacing w:line="360" w:lineRule="auto"/>
        <w:jc w:val="both"/>
      </w:pPr>
      <w:r>
        <w:rPr>
          <w:rFonts w:ascii="Times New Roman" w:hAnsi="Times New Roman"/>
          <w:sz w:val="24"/>
        </w:rPr>
        <w:t>Security:</w:t>
      </w:r>
    </w:p>
    <w:p>
      <w:pPr>
        <w:spacing w:line="360" w:lineRule="auto"/>
        <w:jc w:val="both"/>
      </w:pPr>
      <w:r>
        <w:rPr>
          <w:rFonts w:ascii="Times New Roman" w:hAnsi="Times New Roman"/>
          <w:b/>
          <w:sz w:val="24"/>
        </w:rPr>
        <w:t>9. PRODUCT DESCRIPTION</w:t>
      </w:r>
    </w:p>
    <w:p>
      <w:pPr>
        <w:spacing w:line="360" w:lineRule="auto"/>
        <w:jc w:val="both"/>
      </w:pPr>
      <w:r>
        <w:rPr>
          <w:rFonts w:ascii="Times New Roman" w:hAnsi="Times New Roman"/>
          <w:sz w:val="24"/>
        </w:rPr>
        <w:t>Leading extreme fast charging technology with proven performance and scalability</w:t>
      </w:r>
    </w:p>
    <w:p>
      <w:pPr>
        <w:spacing w:line="360" w:lineRule="auto"/>
        <w:jc w:val="both"/>
      </w:pPr>
      <w:r>
        <w:rPr>
          <w:rFonts w:ascii="Times New Roman" w:hAnsi="Times New Roman"/>
          <w:sz w:val="24"/>
        </w:rPr>
        <w:t>10. FINANCIAL ANALYSIS (with commentary on data availability)</w:t>
      </w:r>
    </w:p>
    <w:p>
      <w:pPr>
        <w:spacing w:line="360" w:lineRule="auto"/>
        <w:jc w:val="both"/>
      </w:pPr>
      <w:r>
        <w:rPr>
          <w:rFonts w:ascii="Times New Roman" w:hAnsi="Times New Roman"/>
          <w:sz w:val="24"/>
        </w:rPr>
        <w:t>Implied Valuation: $N/AM</w:t>
      </w:r>
    </w:p>
    <w:p>
      <w:pPr>
        <w:spacing w:line="360" w:lineRule="auto"/>
        <w:jc w:val="both"/>
      </w:pPr>
      <w:r>
        <w:rPr>
          <w:rFonts w:ascii="Times New Roman" w:hAnsi="Times New Roman"/>
          <w:sz w:val="24"/>
        </w:rPr>
        <w:t>Cash Burn (12 months): $N/AM</w:t>
      </w:r>
    </w:p>
    <w:p>
      <w:pPr>
        <w:spacing w:line="360" w:lineRule="auto"/>
        <w:jc w:val="both"/>
      </w:pPr>
      <w:r>
        <w:rPr>
          <w:rFonts w:ascii="Times New Roman" w:hAnsi="Times New Roman"/>
          <w:sz w:val="24"/>
        </w:rPr>
        <w:t>Runway: 0 months</w:t>
      </w:r>
    </w:p>
    <w:p>
      <w:pPr>
        <w:spacing w:line="360" w:lineRule="auto"/>
        <w:jc w:val="both"/>
      </w:pPr>
      <w:r>
        <w:rPr>
          <w:rFonts w:ascii="Times New Roman" w:hAnsi="Times New Roman"/>
          <w:sz w:val="24"/>
        </w:rPr>
        <w:t>Valuation Multiple: 0.0</w:t>
      </w:r>
    </w:p>
    <w:p>
      <w:pPr>
        <w:spacing w:line="360" w:lineRule="auto"/>
        <w:jc w:val="both"/>
      </w:pPr>
      <w:r>
        <w:rPr>
          <w:rFonts w:ascii="Times New Roman" w:hAnsi="Times New Roman"/>
          <w:sz w:val="24"/>
        </w:rPr>
        <w:t>Financial data is unavailable.</w:t>
      </w:r>
    </w:p>
    <w:p>
      <w:pPr>
        <w:spacing w:line="360" w:lineRule="auto"/>
        <w:jc w:val="both"/>
      </w:pPr>
      <w:r>
        <w:rPr>
          <w:rFonts w:ascii="Times New Roman" w:hAnsi="Times New Roman"/>
          <w:sz w:val="24"/>
        </w:rPr>
        <w:t>--- Extracted Tables (Financial) ---</w:t>
      </w:r>
    </w:p>
    <w:p>
      <w:pPr>
        <w:spacing w:line="360" w:lineRule="auto"/>
        <w:jc w:val="both"/>
      </w:pPr>
      <w:r>
        <w:rPr>
          <w:rFonts w:ascii="Times New Roman" w:hAnsi="Times New Roman"/>
          <w:b/>
          <w:sz w:val="24"/>
        </w:rPr>
        <w:t>11. TEAM &amp; MANAGEMENT</w:t>
      </w:r>
    </w:p>
    <w:p>
      <w:pPr>
        <w:spacing w:line="360" w:lineRule="auto"/>
        <w:jc w:val="both"/>
      </w:pPr>
      <w:r>
        <w:rPr>
          <w:rFonts w:ascii="Times New Roman" w:hAnsi="Times New Roman"/>
          <w:sz w:val="24"/>
        </w:rPr>
        <w:t>Founder: Doron Myersdorf</w:t>
      </w:r>
    </w:p>
    <w:p>
      <w:pPr>
        <w:spacing w:line="360" w:lineRule="auto"/>
        <w:jc w:val="both"/>
      </w:pPr>
      <w:r>
        <w:rPr>
          <w:rFonts w:ascii="Times New Roman" w:hAnsi="Times New Roman"/>
          <w:sz w:val="24"/>
        </w:rPr>
        <w:t>Founder Fit Score: 0.8 / 1.0</w:t>
      </w:r>
    </w:p>
    <w:p>
      <w:pPr>
        <w:spacing w:line="360" w:lineRule="auto"/>
        <w:jc w:val="both"/>
      </w:pPr>
      <w:r>
        <w:rPr>
          <w:rFonts w:ascii="Times New Roman" w:hAnsi="Times New Roman"/>
          <w:sz w:val="24"/>
        </w:rPr>
        <w:t>Prior Exits: 2</w:t>
      </w:r>
    </w:p>
    <w:p>
      <w:pPr>
        <w:spacing w:line="360" w:lineRule="auto"/>
        <w:jc w:val="both"/>
      </w:pPr>
      <w:r>
        <w:rPr>
          <w:rFonts w:ascii="Times New Roman" w:hAnsi="Times New Roman"/>
          <w:sz w:val="24"/>
        </w:rPr>
        <w:t>Sector Experience: Battery Technology</w:t>
      </w:r>
    </w:p>
    <w:p>
      <w:pPr>
        <w:spacing w:line="360" w:lineRule="auto"/>
        <w:jc w:val="both"/>
      </w:pPr>
      <w:r>
        <w:rPr>
          <w:rFonts w:ascii="Times New Roman" w:hAnsi="Times New Roman"/>
          <w:b/>
          <w:sz w:val="24"/>
        </w:rPr>
        <w:t>12. ESG CONSIDERATIONS</w:t>
      </w:r>
    </w:p>
    <w:p>
      <w:pPr>
        <w:spacing w:line="360" w:lineRule="auto"/>
        <w:jc w:val="both"/>
      </w:pPr>
      <w:r>
        <w:rPr>
          <w:rFonts w:ascii="Times New Roman" w:hAnsi="Times New Roman"/>
          <w:sz w:val="24"/>
        </w:rPr>
        <w:t>StoreDot is developing extreme fast charging (XFC) lithium-ion battery technology aimed at accelerating electric vehicle (EV) adoption by addressing key barriers such as charging time and infrastructure limitations. Their technology promises charging times of 10 minutes for 100 miles, with over 1200 fast charge cycles and no degradation, supporting sustainability by potentially reducing battery waste and cobalt content. The startup emphasizes scalable, cost-effective production compatible with existing lithium-ion manufacturing, aligning with industry timelines and regulatory pushes for EV adoption in major markets (US, EU, China). Social impact includes reducing "charging anxiety," thus encouraging EV uptake and lowering transportation emissions. Governance appears strong with experienced leadership and a global advisory board, though no specific ESG controversies or regulatory compliance issues were found in available data. Further information on environmental lifecycle assessments and supply chain labor practices would enhance the ESG evaluation.</w:t>
      </w:r>
    </w:p>
    <w:p>
      <w:pPr>
        <w:spacing w:line="360" w:lineRule="auto"/>
        <w:jc w:val="both"/>
      </w:pPr>
      <w:r>
        <w:rPr>
          <w:rFonts w:ascii="Times New Roman" w:hAnsi="Times New Roman"/>
          <w:b/>
          <w:sz w:val="24"/>
        </w:rPr>
        <w:t>13. RISKS &amp; MITIGATIONS</w:t>
      </w:r>
    </w:p>
    <w:p>
      <w:pPr>
        <w:spacing w:line="360" w:lineRule="auto"/>
        <w:jc w:val="both"/>
      </w:pPr>
      <w:r>
        <w:rPr>
          <w:rFonts w:ascii="Times New Roman" w:hAnsi="Times New Roman"/>
          <w:sz w:val="24"/>
        </w:rPr>
        <w:t>Overall Risk Level: HIGH</w:t>
      </w:r>
    </w:p>
    <w:p>
      <w:pPr>
        <w:spacing w:line="360" w:lineRule="auto"/>
        <w:jc w:val="both"/>
      </w:pPr>
      <w:r>
        <w:rPr>
          <w:rFonts w:ascii="Times New Roman" w:hAnsi="Times New Roman"/>
          <w:sz w:val="24"/>
        </w:rPr>
        <w:t>Risk Score: N/A / 1.0</w:t>
      </w:r>
    </w:p>
    <w:p>
      <w:pPr>
        <w:spacing w:line="360" w:lineRule="auto"/>
        <w:jc w:val="both"/>
      </w:pPr>
      <w:r>
        <w:rPr>
          <w:rFonts w:ascii="Times New Roman" w:hAnsi="Times New Roman"/>
          <w:sz w:val="24"/>
        </w:rPr>
        <w:t>IDENTIFIED RISKS:</w:t>
      </w:r>
    </w:p>
    <w:p>
      <w:pPr>
        <w:spacing w:line="360" w:lineRule="auto"/>
        <w:jc w:val="both"/>
      </w:pPr>
      <w:r>
        <w:rPr>
          <w:rFonts w:ascii="Times New Roman" w:hAnsi="Times New Roman"/>
          <w:sz w:val="24"/>
        </w:rPr>
        <w:t>1. Market competition</w:t>
      </w:r>
    </w:p>
    <w:p>
      <w:pPr>
        <w:spacing w:line="360" w:lineRule="auto"/>
        <w:jc w:val="both"/>
      </w:pPr>
      <w:r>
        <w:rPr>
          <w:rFonts w:ascii="Times New Roman" w:hAnsi="Times New Roman"/>
          <w:sz w:val="24"/>
        </w:rPr>
        <w:t>2. Financial health</w:t>
      </w:r>
    </w:p>
    <w:p>
      <w:pPr>
        <w:spacing w:line="360" w:lineRule="auto"/>
        <w:jc w:val="both"/>
      </w:pPr>
      <w:r>
        <w:rPr>
          <w:rFonts w:ascii="Times New Roman" w:hAnsi="Times New Roman"/>
          <w:sz w:val="24"/>
        </w:rPr>
        <w:t>3. Regulatory risks</w:t>
      </w:r>
    </w:p>
    <w:p>
      <w:pPr>
        <w:spacing w:line="360" w:lineRule="auto"/>
        <w:jc w:val="both"/>
      </w:pPr>
      <w:r>
        <w:rPr>
          <w:rFonts w:ascii="Times New Roman" w:hAnsi="Times New Roman"/>
          <w:b/>
          <w:sz w:val="24"/>
        </w:rPr>
        <w:t>14. INVESTMENT &amp; EXIT STRATEGIES</w:t>
      </w:r>
    </w:p>
    <w:p>
      <w:pPr>
        <w:spacing w:line="360" w:lineRule="auto"/>
        <w:jc w:val="both"/>
      </w:pPr>
      <w:r>
        <w:rPr>
          <w:rFonts w:ascii="Times New Roman" w:hAnsi="Times New Roman"/>
          <w:sz w:val="24"/>
        </w:rPr>
        <w:t>Based on the information provided, StoreDot's extreme fast charging battery technology seems to have a promising future in the EV industry. With a 3-5 years lead on alternative solutions and ongoing testing by OEMs and manufacturing partners, StoreDot is commercially ready in 2025. The technology's scalability, compatibility with existing manufacturing lines, and competitive cost structure make it an attractive acquisition target for major players in the EV market. Potential exit scenarios could include acquisition by a leading EV manufacturer or a strategic partnership with a major player in the industry. However, more data on financials, market penetration, and partnerships would be needed to provide a more detailed analysis.</w:t>
      </w:r>
    </w:p>
    <w:p>
      <w:pPr>
        <w:spacing w:line="360" w:lineRule="auto"/>
        <w:jc w:val="both"/>
      </w:pPr>
      <w:r>
        <w:rPr>
          <w:rFonts w:ascii="Times New Roman" w:hAnsi="Times New Roman"/>
          <w:sz w:val="24"/>
        </w:rPr>
        <w:t>15. FOLLOW-UP QUESTIONS &amp; NEXT STEPS</w:t>
      </w:r>
    </w:p>
    <w:p>
      <w:pPr>
        <w:spacing w:line="360" w:lineRule="auto"/>
        <w:jc w:val="both"/>
      </w:pPr>
      <w:r>
        <w:rPr>
          <w:rFonts w:ascii="Times New Roman" w:hAnsi="Times New Roman"/>
          <w:sz w:val="24"/>
        </w:rPr>
        <w:t>- **Technology Validation &amp; IP**</w:t>
      </w:r>
    </w:p>
    <w:p>
      <w:pPr>
        <w:spacing w:line="360" w:lineRule="auto"/>
        <w:jc w:val="both"/>
      </w:pPr>
      <w:r>
        <w:rPr>
          <w:rFonts w:ascii="Times New Roman" w:hAnsi="Times New Roman"/>
          <w:sz w:val="24"/>
        </w:rPr>
        <w:t>- Request detailed third-party test reports validating the 10-minute charging claim and &gt;1200 cycle life under extreme fast charging conditions.</w:t>
      </w:r>
    </w:p>
    <w:p>
      <w:pPr>
        <w:spacing w:line="360" w:lineRule="auto"/>
        <w:jc w:val="both"/>
      </w:pPr>
      <w:r>
        <w:rPr>
          <w:rFonts w:ascii="Times New Roman" w:hAnsi="Times New Roman"/>
          <w:sz w:val="24"/>
        </w:rPr>
        <w:t>- Clarify the scope and geographic coverage of the 78 granted and 22 pending patents; assess freedom to operate and potential infringement risks.</w:t>
      </w:r>
    </w:p>
    <w:p>
      <w:pPr>
        <w:spacing w:line="360" w:lineRule="auto"/>
        <w:jc w:val="both"/>
      </w:pPr>
      <w:r>
        <w:rPr>
          <w:rFonts w:ascii="Times New Roman" w:hAnsi="Times New Roman"/>
          <w:sz w:val="24"/>
        </w:rPr>
        <w:t>- Understand any known technical limitations or degradation modes not disclosed.</w:t>
      </w:r>
    </w:p>
    <w:p>
      <w:pPr>
        <w:spacing w:line="360" w:lineRule="auto"/>
        <w:jc w:val="both"/>
      </w:pPr>
      <w:r>
        <w:rPr>
          <w:rFonts w:ascii="Times New Roman" w:hAnsi="Times New Roman"/>
          <w:sz w:val="24"/>
        </w:rPr>
        <w:t>- **OEM &amp; Manufacturing Partnerships**</w:t>
      </w:r>
    </w:p>
    <w:p>
      <w:pPr>
        <w:spacing w:line="360" w:lineRule="auto"/>
        <w:jc w:val="both"/>
      </w:pPr>
      <w:r>
        <w:rPr>
          <w:rFonts w:ascii="Times New Roman" w:hAnsi="Times New Roman"/>
          <w:sz w:val="24"/>
        </w:rPr>
        <w:t>- Obtain a list of the &gt;15 OEMs and manufacturing partners currently testing the 100in5 cells, including stage of engagement and feedback.</w:t>
      </w:r>
    </w:p>
    <w:p>
      <w:pPr>
        <w:spacing w:line="360" w:lineRule="auto"/>
        <w:jc w:val="both"/>
      </w:pPr>
      <w:r>
        <w:rPr>
          <w:rFonts w:ascii="Times New Roman" w:hAnsi="Times New Roman"/>
          <w:sz w:val="24"/>
        </w:rPr>
        <w:t>- Confirm any signed commercial agreements, MOUs, or exclusivity terms with OEMs or battery manufacturers.</w:t>
      </w:r>
    </w:p>
    <w:p>
      <w:pPr>
        <w:spacing w:line="360" w:lineRule="auto"/>
        <w:jc w:val="both"/>
      </w:pPr>
      <w:r>
        <w:rPr>
          <w:rFonts w:ascii="Times New Roman" w:hAnsi="Times New Roman"/>
          <w:sz w:val="24"/>
        </w:rPr>
        <w:t>- Assess readiness and timeline for scaling production in existing Li-ion lines; request CAPEX and OPEX estimates for licensing partners.</w:t>
      </w:r>
    </w:p>
    <w:p>
      <w:pPr>
        <w:spacing w:line="360" w:lineRule="auto"/>
        <w:jc w:val="both"/>
      </w:pPr>
      <w:r>
        <w:rPr>
          <w:rFonts w:ascii="Times New Roman" w:hAnsi="Times New Roman"/>
          <w:sz w:val="24"/>
        </w:rPr>
        <w:t>- **Competitive Landscape &amp; Differentiation**</w:t>
      </w:r>
    </w:p>
    <w:p>
      <w:pPr>
        <w:spacing w:line="360" w:lineRule="auto"/>
        <w:jc w:val="both"/>
      </w:pPr>
      <w:r>
        <w:rPr>
          <w:rFonts w:ascii="Times New Roman" w:hAnsi="Times New Roman"/>
          <w:sz w:val="24"/>
        </w:rPr>
        <w:t>- Request detailed benchmarking data comparing StoreDot’s technology vs. leading Li-ion, semi-solid, and ASSB competitors on cost, energy density, cycle life, and scalability.</w:t>
      </w:r>
    </w:p>
    <w:p>
      <w:pPr>
        <w:spacing w:line="360" w:lineRule="auto"/>
        <w:jc w:val="both"/>
      </w:pPr>
      <w:r>
        <w:rPr>
          <w:rFonts w:ascii="Times New Roman" w:hAnsi="Times New Roman"/>
          <w:sz w:val="24"/>
        </w:rPr>
        <w:t>- Clarify assumptions behind the 3-5 year lead claim and how StoreDot plans to maintain this lead given rapid industry advances.</w:t>
      </w:r>
    </w:p>
    <w:p>
      <w:pPr>
        <w:spacing w:line="360" w:lineRule="auto"/>
        <w:jc w:val="both"/>
      </w:pPr>
      <w:r>
        <w:rPr>
          <w:rFonts w:ascii="Times New Roman" w:hAnsi="Times New Roman"/>
          <w:sz w:val="24"/>
        </w:rPr>
        <w:t>- **Commercialization &amp; Go-to-Market**</w:t>
      </w:r>
    </w:p>
    <w:p>
      <w:pPr>
        <w:spacing w:line="360" w:lineRule="auto"/>
        <w:jc w:val="both"/>
      </w:pPr>
      <w:r>
        <w:rPr>
          <w:rFonts w:ascii="Times New Roman" w:hAnsi="Times New Roman"/>
          <w:sz w:val="24"/>
        </w:rPr>
        <w:t>- Confirm StoreDot’s go-to-market strategy for 2025 commercial readiness: direct sales, licensing, joint ventures, or other models.</w:t>
      </w:r>
    </w:p>
    <w:p>
      <w:pPr>
        <w:spacing w:line="360" w:lineRule="auto"/>
        <w:jc w:val="both"/>
      </w:pPr>
      <w:r>
        <w:rPr>
          <w:rFonts w:ascii="Times New Roman" w:hAnsi="Times New Roman"/>
          <w:sz w:val="24"/>
        </w:rPr>
        <w:t>- Understand pricing strategy and expected cost per kWh relative to incumbent battery technologies.</w:t>
      </w:r>
    </w:p>
    <w:p>
      <w:pPr>
        <w:spacing w:line="360" w:lineRule="auto"/>
        <w:jc w:val="both"/>
      </w:pPr>
      <w:r>
        <w:rPr>
          <w:rFonts w:ascii="Times New Roman" w:hAnsi="Times New Roman"/>
          <w:sz w:val="24"/>
        </w:rPr>
        <w:t>- Evaluate plans to address charging infrastructure and connector standardization challenges alongside battery tech.</w:t>
      </w:r>
    </w:p>
    <w:p>
      <w:pPr>
        <w:spacing w:line="360" w:lineRule="auto"/>
        <w:jc w:val="both"/>
      </w:pPr>
      <w:r>
        <w:rPr>
          <w:rFonts w:ascii="Times New Roman" w:hAnsi="Times New Roman"/>
          <w:sz w:val="24"/>
        </w:rPr>
        <w:t>- **Financials &amp; Funding**</w:t>
      </w:r>
    </w:p>
    <w:p>
      <w:pPr>
        <w:spacing w:line="360" w:lineRule="auto"/>
        <w:jc w:val="both"/>
      </w:pPr>
      <w:r>
        <w:rPr>
          <w:rFonts w:ascii="Times New Roman" w:hAnsi="Times New Roman"/>
          <w:sz w:val="24"/>
        </w:rPr>
        <w:t>- Request current financials, burn rate, and runway.</w:t>
      </w:r>
    </w:p>
    <w:p>
      <w:pPr>
        <w:spacing w:line="360" w:lineRule="auto"/>
        <w:jc w:val="both"/>
      </w:pPr>
      <w:r>
        <w:rPr>
          <w:rFonts w:ascii="Times New Roman" w:hAnsi="Times New Roman"/>
          <w:sz w:val="24"/>
        </w:rPr>
        <w:t>- Clarify funding history, current valuation, and planned use of proceeds from this round.</w:t>
      </w:r>
    </w:p>
    <w:p>
      <w:pPr>
        <w:spacing w:line="360" w:lineRule="auto"/>
        <w:jc w:val="both"/>
      </w:pPr>
      <w:r>
        <w:rPr>
          <w:rFonts w:ascii="Times New Roman" w:hAnsi="Times New Roman"/>
          <w:sz w:val="24"/>
        </w:rPr>
        <w:t>- Understand revenue projections and break-even timeline based on licensing and production ramp.</w:t>
      </w:r>
    </w:p>
    <w:p>
      <w:pPr>
        <w:spacing w:line="360" w:lineRule="auto"/>
        <w:jc w:val="both"/>
      </w:pPr>
      <w:r>
        <w:rPr>
          <w:rFonts w:ascii="Times New Roman" w:hAnsi="Times New Roman"/>
          <w:sz w:val="24"/>
        </w:rPr>
        <w:t>- **Regulatory &amp; Sustainability**</w:t>
      </w:r>
    </w:p>
    <w:p>
      <w:pPr>
        <w:spacing w:line="360" w:lineRule="auto"/>
        <w:jc w:val="both"/>
      </w:pPr>
      <w:r>
        <w:rPr>
          <w:rFonts w:ascii="Times New Roman" w:hAnsi="Times New Roman"/>
          <w:sz w:val="24"/>
        </w:rPr>
        <w:t>- Confirm compliance with relevant automotive and battery safety standards globally.</w:t>
      </w:r>
    </w:p>
    <w:p>
      <w:pPr>
        <w:spacing w:line="360" w:lineRule="auto"/>
        <w:jc w:val="both"/>
      </w:pPr>
      <w:r>
        <w:rPr>
          <w:rFonts w:ascii="Times New Roman" w:hAnsi="Times New Roman"/>
          <w:sz w:val="24"/>
        </w:rPr>
        <w:t>- Detail cobalt reduction and sustainability initiatives in the production roadmap.</w:t>
      </w:r>
    </w:p>
    <w:p>
      <w:pPr>
        <w:spacing w:line="360" w:lineRule="auto"/>
        <w:jc w:val="both"/>
      </w:pPr>
      <w:r>
        <w:rPr>
          <w:rFonts w:ascii="Times New Roman" w:hAnsi="Times New Roman"/>
          <w:sz w:val="24"/>
        </w:rPr>
        <w:t>- **Team &amp; Execution Risk**</w:t>
      </w:r>
    </w:p>
    <w:p>
      <w:pPr>
        <w:spacing w:line="360" w:lineRule="auto"/>
        <w:jc w:val="both"/>
      </w:pPr>
      <w:r>
        <w:rPr>
          <w:rFonts w:ascii="Times New Roman" w:hAnsi="Times New Roman"/>
          <w:sz w:val="24"/>
        </w:rPr>
        <w:t>- Assess depth of technical and commercial team beyond leadership bios.</w:t>
      </w:r>
    </w:p>
    <w:p>
      <w:pPr>
        <w:spacing w:line="360" w:lineRule="auto"/>
        <w:jc w:val="both"/>
      </w:pPr>
      <w:r>
        <w:rPr>
          <w:rFonts w:ascii="Times New Roman" w:hAnsi="Times New Roman"/>
          <w:sz w:val="24"/>
        </w:rPr>
        <w:t>- Understand key hires planned to support scale-up and commercialization.</w:t>
      </w:r>
    </w:p>
    <w:p>
      <w:pPr>
        <w:spacing w:line="360" w:lineRule="auto"/>
        <w:jc w:val="both"/>
      </w:pPr>
      <w:r>
        <w:rPr>
          <w:rFonts w:ascii="Times New Roman" w:hAnsi="Times New Roman"/>
          <w:sz w:val="24"/>
        </w:rPr>
        <w:t>**Next Steps:**</w:t>
      </w:r>
    </w:p>
    <w:p>
      <w:pPr>
        <w:spacing w:line="360" w:lineRule="auto"/>
        <w:jc w:val="both"/>
      </w:pPr>
      <w:r>
        <w:rPr>
          <w:rFonts w:ascii="Times New Roman" w:hAnsi="Times New Roman"/>
          <w:sz w:val="24"/>
        </w:rPr>
        <w:t>- Schedule technical deep-dive with CTO and R&amp;D team.</w:t>
      </w:r>
    </w:p>
    <w:p>
      <w:pPr>
        <w:spacing w:line="360" w:lineRule="auto"/>
        <w:jc w:val="both"/>
      </w:pPr>
      <w:r>
        <w:rPr>
          <w:rFonts w:ascii="Times New Roman" w:hAnsi="Times New Roman"/>
          <w:sz w:val="24"/>
        </w:rPr>
        <w:t>- Conduct reference calls with at least 2 OEM partners.</w:t>
      </w:r>
    </w:p>
    <w:p>
      <w:pPr>
        <w:spacing w:line="360" w:lineRule="auto"/>
        <w:jc w:val="both"/>
      </w:pPr>
      <w:r>
        <w:rPr>
          <w:rFonts w:ascii="Times New Roman" w:hAnsi="Times New Roman"/>
          <w:sz w:val="24"/>
        </w:rPr>
        <w:t>- Engage independent battery technology expert for validation.</w:t>
      </w:r>
    </w:p>
    <w:p>
      <w:pPr>
        <w:spacing w:line="360" w:lineRule="auto"/>
        <w:jc w:val="both"/>
      </w:pPr>
      <w:r>
        <w:rPr>
          <w:rFonts w:ascii="Times New Roman" w:hAnsi="Times New Roman"/>
          <w:sz w:val="24"/>
        </w:rPr>
        <w:t>- Review detailed financial model and IP portfolio with legal counsel.</w:t>
      </w:r>
    </w:p>
    <w:p>
      <w:pPr>
        <w:spacing w:line="360" w:lineRule="auto"/>
        <w:jc w:val="both"/>
      </w:pPr>
      <w:r>
        <w:rPr>
          <w:rFonts w:ascii="Times New Roman" w:hAnsi="Times New Roman"/>
          <w:sz w:val="24"/>
        </w:rPr>
        <w:t>If these areas are addressed satisfactorily, proceed to site visit of pilot production facilities.</w:t>
      </w:r>
    </w:p>
    <w:p>
      <w:pPr>
        <w:spacing w:line="360" w:lineRule="auto"/>
        <w:jc w:val="both"/>
      </w:pPr>
      <w:r>
        <w:rPr>
          <w:rFonts w:ascii="Times New Roman" w:hAnsi="Times New Roman"/>
          <w:b/>
          <w:sz w:val="24"/>
        </w:rPr>
        <w:t>16. FIGURES &amp; VISUALS</w:t>
      </w:r>
    </w:p>
    <w:p>
      <w:pPr>
        <w:spacing w:line="360" w:lineRule="auto"/>
        <w:jc w:val="both"/>
      </w:pPr>
      <w:r>
        <w:rPr>
          <w:rFonts w:ascii="Times New Roman" w:hAnsi="Times New Roman"/>
          <w:sz w:val="24"/>
        </w:rPr>
        <w:t>No figures extracted.</w:t>
      </w:r>
    </w:p>
    <w:p>
      <w:pPr>
        <w:spacing w:line="360" w:lineRule="auto"/>
        <w:jc w:val="both"/>
      </w:pPr>
      <w:r>
        <w:rPr>
          <w:rFonts w:ascii="Times New Roman" w:hAnsi="Times New Roman"/>
          <w:sz w:val="24"/>
        </w:rPr>
        <w:t>17. APPENDIX: ADDITIONAL TABLES</w:t>
      </w:r>
    </w:p>
    <w:p>
      <w:pPr>
        <w:spacing w:line="360" w:lineRule="auto"/>
        <w:jc w:val="both"/>
      </w:pPr>
      <w:r>
        <w:rPr>
          <w:rFonts w:ascii="Times New Roman" w:hAnsi="Times New Roman"/>
          <w:b/>
          <w:sz w:val="24"/>
        </w:rPr>
        <w:t>18. DISCUSSION &amp; ANALYST COMMENTARY</w:t>
      </w:r>
    </w:p>
    <w:p>
      <w:pPr>
        <w:spacing w:line="360" w:lineRule="auto"/>
        <w:jc w:val="both"/>
      </w:pPr>
      <w:r>
        <w:rPr>
          <w:rFonts w:ascii="Times New Roman" w:hAnsi="Times New Roman"/>
          <w:sz w:val="24"/>
        </w:rPr>
        <w:t>**Analyst Commentary on StoreDot Investment Memo**</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 Key Strengths</w:t>
      </w:r>
    </w:p>
    <w:p>
      <w:pPr>
        <w:spacing w:line="360" w:lineRule="auto"/>
        <w:jc w:val="both"/>
      </w:pPr>
      <w:r>
        <w:rPr>
          <w:rFonts w:ascii="Times New Roman" w:hAnsi="Times New Roman"/>
          <w:sz w:val="24"/>
        </w:rPr>
        <w:t>- **Technological Innovation &amp; Moat:** StoreDot’s silicon-dominant anode lithium-ion battery technology enabling 100 miles of range in 5-10 minutes charging is a significant breakthrough addressing a critical EV adoption barrier—charging time. Compatibility with existing Li-ion manufacturing lines enhances scalability and lowers adoption friction.</w:t>
      </w:r>
    </w:p>
    <w:p>
      <w:pPr>
        <w:spacing w:line="360" w:lineRule="auto"/>
        <w:jc w:val="both"/>
      </w:pPr>
      <w:r>
        <w:rPr>
          <w:rFonts w:ascii="Times New Roman" w:hAnsi="Times New Roman"/>
          <w:sz w:val="24"/>
        </w:rPr>
        <w:t>- **Strong Industry Validation:** Engagement with over 15 OEMs and manufacturing partners signals credible market interest and potential early traction. The extensive patent portfolio (78 granted US patents) provides a defensible IP position.</w:t>
      </w:r>
    </w:p>
    <w:p>
      <w:pPr>
        <w:spacing w:line="360" w:lineRule="auto"/>
        <w:jc w:val="both"/>
      </w:pPr>
      <w:r>
        <w:rPr>
          <w:rFonts w:ascii="Times New Roman" w:hAnsi="Times New Roman"/>
          <w:sz w:val="24"/>
        </w:rPr>
        <w:t>- **Clear Market Need &amp; Large TAM:** The $120B TAM with a $6B SOM reflects a substantial opportunity, driven by accelerating EV adoption and infrastructure constraints. StoreDot’s solution directly targets “charging anxiety,” a well-documented consumer pain point.</w:t>
      </w:r>
    </w:p>
    <w:p>
      <w:pPr>
        <w:spacing w:line="360" w:lineRule="auto"/>
        <w:jc w:val="both"/>
      </w:pPr>
      <w:r>
        <w:rPr>
          <w:rFonts w:ascii="Times New Roman" w:hAnsi="Times New Roman"/>
          <w:sz w:val="24"/>
        </w:rPr>
        <w:t>- **Experienced Founder:** Doron Myersdorf’s prior exits and sector experience increase confidence in execution capability.</w:t>
      </w:r>
    </w:p>
    <w:p>
      <w:pPr>
        <w:spacing w:line="360" w:lineRule="auto"/>
        <w:jc w:val="both"/>
      </w:pPr>
      <w:r>
        <w:rPr>
          <w:rFonts w:ascii="Times New Roman" w:hAnsi="Times New Roman"/>
          <w:sz w:val="24"/>
        </w:rPr>
        <w:t>- **ESG Alignment:** The technology supports sustainability goals by reducing charging times, potentially lowering battery waste and cobalt use, aligning with regulatory and consumer trends.</w:t>
      </w:r>
    </w:p>
    <w:p>
      <w:pPr>
        <w:spacing w:line="360" w:lineRule="auto"/>
        <w:jc w:val="both"/>
      </w:pPr>
      <w:r>
        <w:rPr>
          <w:rFonts w:ascii="Times New Roman" w:hAnsi="Times New Roman"/>
          <w:sz w:val="24"/>
        </w:rPr>
        <w:t>### Key Weaknesses</w:t>
      </w:r>
    </w:p>
    <w:p>
      <w:pPr>
        <w:spacing w:line="360" w:lineRule="auto"/>
        <w:jc w:val="both"/>
      </w:pPr>
      <w:r>
        <w:rPr>
          <w:rFonts w:ascii="Times New Roman" w:hAnsi="Times New Roman"/>
          <w:sz w:val="24"/>
        </w:rPr>
        <w:t>- **Opaque Financials:** Lack of disclosed financial data (valuation, burn rate, runway) severely limits assessment of financial health and capital efficiency. This opacity raises concerns about funding sufficiency and operational sustainability.</w:t>
      </w:r>
    </w:p>
    <w:p>
      <w:pPr>
        <w:spacing w:line="360" w:lineRule="auto"/>
        <w:jc w:val="both"/>
      </w:pPr>
      <w:r>
        <w:rPr>
          <w:rFonts w:ascii="Times New Roman" w:hAnsi="Times New Roman"/>
          <w:sz w:val="24"/>
        </w:rPr>
        <w:t>- **Limited Team Information:** Beyond the founder, there is minimal insight into the broader technical and commercial team, which is critical for scaling manufacturing, partnerships, and commercialization.</w:t>
      </w:r>
    </w:p>
    <w:p>
      <w:pPr>
        <w:spacing w:line="360" w:lineRule="auto"/>
        <w:jc w:val="both"/>
      </w:pPr>
      <w:r>
        <w:rPr>
          <w:rFonts w:ascii="Times New Roman" w:hAnsi="Times New Roman"/>
          <w:sz w:val="24"/>
        </w:rPr>
        <w:t>- **Unclear Commercial Agreements:** The nature and depth of OEM partnerships are vague—no clarity on signed contracts, exclusivity, or revenue commitments, which clouds near-term revenue visibility.</w:t>
      </w:r>
    </w:p>
    <w:p>
      <w:pPr>
        <w:spacing w:line="360" w:lineRule="auto"/>
        <w:jc w:val="both"/>
      </w:pPr>
      <w:r>
        <w:rPr>
          <w:rFonts w:ascii="Times New Roman" w:hAnsi="Times New Roman"/>
          <w:sz w:val="24"/>
        </w:rPr>
        <w:t>- **Technology Validation Gaps:** Absence of independent third-party validation of performance claims (charging speed, cycle life) and durability under real-world conditions introduces technical risk.</w:t>
      </w:r>
    </w:p>
    <w:p>
      <w:pPr>
        <w:spacing w:line="360" w:lineRule="auto"/>
        <w:jc w:val="both"/>
      </w:pPr>
      <w:r>
        <w:rPr>
          <w:rFonts w:ascii="Times New Roman" w:hAnsi="Times New Roman"/>
          <w:sz w:val="24"/>
        </w:rPr>
        <w:t>- **Competitive Landscape:** While StoreDot claims a 3-5 year lead, competitors like QuantumScape and Solid Power are well-funded and advancing rapidly. The memo lacks detailed benchmarking to substantiate StoreDot’s sustainable competitive advantage.</w:t>
      </w:r>
    </w:p>
    <w:p>
      <w:pPr>
        <w:spacing w:line="360" w:lineRule="auto"/>
        <w:jc w:val="both"/>
      </w:pPr>
      <w:r>
        <w:rPr>
          <w:rFonts w:ascii="Times New Roman" w:hAnsi="Times New Roman"/>
          <w:sz w:val="24"/>
        </w:rPr>
        <w:t>### Opportunities</w:t>
      </w:r>
    </w:p>
    <w:p>
      <w:pPr>
        <w:spacing w:line="360" w:lineRule="auto"/>
        <w:jc w:val="both"/>
      </w:pPr>
      <w:r>
        <w:rPr>
          <w:rFonts w:ascii="Times New Roman" w:hAnsi="Times New Roman"/>
          <w:sz w:val="24"/>
        </w:rPr>
        <w:t>- **Licensing Model Scalability:** Licensing to OEMs and battery manufacturers globally can enable rapid scaling without heavy capital expenditure, potentially leading to high-margin recurring revenues.</w:t>
      </w:r>
    </w:p>
    <w:p>
      <w:pPr>
        <w:spacing w:line="360" w:lineRule="auto"/>
        <w:jc w:val="both"/>
      </w:pPr>
      <w:r>
        <w:rPr>
          <w:rFonts w:ascii="Times New Roman" w:hAnsi="Times New Roman"/>
          <w:sz w:val="24"/>
        </w:rPr>
        <w:t>- **Expansion Roadmap:** Plans for semi-solid and post-lithium batteries by 2028 and 2032 indicate a forward-looking innovation pipeline that could extend StoreDot’s leadership beyond current lithium-ion tech.</w:t>
      </w:r>
    </w:p>
    <w:p>
      <w:pPr>
        <w:spacing w:line="360" w:lineRule="auto"/>
        <w:jc w:val="both"/>
      </w:pPr>
      <w:r>
        <w:rPr>
          <w:rFonts w:ascii="Times New Roman" w:hAnsi="Times New Roman"/>
          <w:sz w:val="24"/>
        </w:rPr>
        <w:t>- **Strategic Acquisitions or Partnerships:** Given the technology’s strategic value, StoreDot could be an attractive acquisition target for major EV or battery manufacturers seeking to leapfrog charging technology.</w:t>
      </w:r>
    </w:p>
    <w:p>
      <w:pPr>
        <w:spacing w:line="360" w:lineRule="auto"/>
        <w:jc w:val="both"/>
      </w:pPr>
      <w:r>
        <w:rPr>
          <w:rFonts w:ascii="Times New Roman" w:hAnsi="Times New Roman"/>
          <w:sz w:val="24"/>
        </w:rPr>
        <w:t>- **Global EV Market Growth:** Strong EV adoption in the US, EU, and China provides a fertile environment for StoreDot’s technology, especially as governments push for decarbonization.</w:t>
      </w:r>
    </w:p>
    <w:p>
      <w:pPr>
        <w:spacing w:line="360" w:lineRule="auto"/>
        <w:jc w:val="both"/>
      </w:pPr>
      <w:r>
        <w:rPr>
          <w:rFonts w:ascii="Times New Roman" w:hAnsi="Times New Roman"/>
          <w:sz w:val="24"/>
        </w:rPr>
        <w:t>### Risks</w:t>
      </w:r>
    </w:p>
    <w:p>
      <w:pPr>
        <w:spacing w:line="360" w:lineRule="auto"/>
        <w:jc w:val="both"/>
      </w:pPr>
      <w:r>
        <w:rPr>
          <w:rFonts w:ascii="Times New Roman" w:hAnsi="Times New Roman"/>
          <w:sz w:val="24"/>
        </w:rPr>
        <w:t>- **High Overall Risk Level:** Market competition, financial uncertainty, and regulatory hurdles are significant. The battery industry is capital-intensive and subject to stringent safety and environmental regulations.</w:t>
      </w:r>
    </w:p>
    <w:p>
      <w:pPr>
        <w:spacing w:line="360" w:lineRule="auto"/>
        <w:jc w:val="both"/>
      </w:pPr>
      <w:r>
        <w:rPr>
          <w:rFonts w:ascii="Times New Roman" w:hAnsi="Times New Roman"/>
          <w:sz w:val="24"/>
        </w:rPr>
        <w:t>- **Execution Risk:** Scaling from prototype to mass production is notoriously challenging in battery tech. Without clear CAPEX/OPEX plans and team depth, execution risk is elevated.</w:t>
      </w:r>
    </w:p>
    <w:p>
      <w:pPr>
        <w:spacing w:line="360" w:lineRule="auto"/>
        <w:jc w:val="both"/>
      </w:pPr>
      <w:r>
        <w:rPr>
          <w:rFonts w:ascii="Times New Roman" w:hAnsi="Times New Roman"/>
          <w:sz w:val="24"/>
        </w:rPr>
        <w:t>- **IP &amp; Freedom to Operate:** Potential patent infringement or litigation risks exist given the crowded battery IP landscape; geographic coverage and strength of patents need thorough legal vetting.</w:t>
      </w:r>
    </w:p>
    <w:p>
      <w:pPr>
        <w:spacing w:line="360" w:lineRule="auto"/>
        <w:jc w:val="both"/>
      </w:pPr>
      <w:r>
        <w:rPr>
          <w:rFonts w:ascii="Times New Roman" w:hAnsi="Times New Roman"/>
          <w:sz w:val="24"/>
        </w:rPr>
        <w:t>- **Market Adoption Uncertainty:** OEMs may be reluctant to switch or integrate new battery chemistries without proven long-term reliability and cost advantages.</w:t>
      </w:r>
    </w:p>
    <w:p>
      <w:pPr>
        <w:spacing w:line="360" w:lineRule="auto"/>
        <w:jc w:val="both"/>
      </w:pPr>
      <w:r>
        <w:rPr>
          <w:rFonts w:ascii="Times New Roman" w:hAnsi="Times New Roman"/>
          <w:sz w:val="24"/>
        </w:rPr>
        <w:t>- **Infrastructure &amp; Standardization:** Fast charging requires compatible infrastructure and connector standards; StoreDot’s role or strategy in addressing these ecosystem challenges is unclear.</w:t>
      </w:r>
    </w:p>
    <w:p>
      <w:pPr>
        <w:spacing w:line="360" w:lineRule="auto"/>
        <w:jc w:val="both"/>
      </w:pPr>
      <w:r>
        <w:rPr>
          <w:rFonts w:ascii="Times New Roman" w:hAnsi="Times New Roman"/>
          <w:sz w:val="24"/>
        </w:rPr>
        <w:t>### Actionable Recommendations for Investors</w:t>
      </w:r>
    </w:p>
    <w:p>
      <w:pPr>
        <w:spacing w:line="360" w:lineRule="auto"/>
        <w:jc w:val="both"/>
      </w:pPr>
      <w:r>
        <w:rPr>
          <w:rFonts w:ascii="Times New Roman" w:hAnsi="Times New Roman"/>
          <w:sz w:val="24"/>
        </w:rPr>
        <w:t>1. **Demand Comprehensive Due Diligence:** Insist on third-party validation of technical claims, detailed IP portfolio review, and transparent financials including burn rate, runway, and funding history before committing capital.</w:t>
      </w:r>
    </w:p>
    <w:p>
      <w:pPr>
        <w:spacing w:line="360" w:lineRule="auto"/>
        <w:jc w:val="both"/>
      </w:pPr>
      <w:r>
        <w:rPr>
          <w:rFonts w:ascii="Times New Roman" w:hAnsi="Times New Roman"/>
          <w:sz w:val="24"/>
        </w:rPr>
        <w:t>2. **Clarify OEM Partnerships:** Obtain signed agreements or MOUs with key OEMs and battery manufacturers, including exclusivity terms and revenue projections, to assess commercial traction.</w:t>
      </w:r>
    </w:p>
    <w:p>
      <w:pPr>
        <w:spacing w:line="360" w:lineRule="auto"/>
        <w:jc w:val="both"/>
      </w:pPr>
      <w:r>
        <w:rPr>
          <w:rFonts w:ascii="Times New Roman" w:hAnsi="Times New Roman"/>
          <w:sz w:val="24"/>
        </w:rPr>
        <w:t>3. **Assess Team Depth:** Evaluate the strength and experience of the broader management and technical team, and understand hiring plans critical for scale-up.</w:t>
      </w:r>
    </w:p>
    <w:p>
      <w:pPr>
        <w:spacing w:line="360" w:lineRule="auto"/>
        <w:jc w:val="both"/>
      </w:pPr>
      <w:r>
        <w:rPr>
          <w:rFonts w:ascii="Times New Roman" w:hAnsi="Times New Roman"/>
          <w:sz w:val="24"/>
        </w:rPr>
        <w:t>4. **Benchmark Competitors:** Commission independent technology benchmarking against solid-state and silicon-anode competitors to validate StoreDot’s claimed 3-5 year lead and cost competitiveness.</w:t>
      </w:r>
    </w:p>
    <w:p>
      <w:pPr>
        <w:spacing w:line="360" w:lineRule="auto"/>
        <w:jc w:val="both"/>
      </w:pPr>
      <w:r>
        <w:rPr>
          <w:rFonts w:ascii="Times New Roman" w:hAnsi="Times New Roman"/>
          <w:sz w:val="24"/>
        </w:rPr>
        <w:t>5. **Monitor Regulatory &amp; ESG Compliance:** Ensure compliance with global automotive safety standards and assess sustainability credentials, including supply chain labor practices and lifecycle environmental impact.</w:t>
      </w:r>
    </w:p>
    <w:p>
      <w:pPr>
        <w:spacing w:line="360" w:lineRule="auto"/>
        <w:jc w:val="both"/>
      </w:pPr>
      <w:r>
        <w:rPr>
          <w:rFonts w:ascii="Times New Roman" w:hAnsi="Times New Roman"/>
          <w:sz w:val="24"/>
        </w:rPr>
        <w:t>6. **Consider Staged Investment:** Given high risk and data gaps, structure investment in tranches tied to milestone achievements such as successful OEM validation, pilot production scale-up, and initial licensing revenues.</w:t>
      </w:r>
    </w:p>
    <w:p>
      <w:pPr>
        <w:spacing w:line="360" w:lineRule="auto"/>
        <w:jc w:val="both"/>
      </w:pPr>
      <w:r>
        <w:rPr>
          <w:rFonts w:ascii="Times New Roman" w:hAnsi="Times New Roman"/>
          <w:sz w:val="24"/>
        </w:rPr>
        <w:t>7. **Plan for Exit Scenarios:** Engage with potential strategic acquirers early to understand market appetite and align technology development with their needs.</w:t>
      </w:r>
    </w:p>
    <w:p>
      <w:pPr>
        <w:spacing w:line="360" w:lineRule="auto"/>
        <w:jc w:val="both"/>
      </w:pPr>
      <w:r>
        <w:rPr>
          <w:rFonts w:ascii="Times New Roman" w:hAnsi="Times New Roman"/>
          <w:sz w:val="24"/>
        </w:rPr>
        <w:t>### Summary</w:t>
      </w:r>
    </w:p>
    <w:p>
      <w:pPr>
        <w:spacing w:line="360" w:lineRule="auto"/>
        <w:jc w:val="both"/>
      </w:pPr>
      <w:r>
        <w:rPr>
          <w:rFonts w:ascii="Times New Roman" w:hAnsi="Times New Roman"/>
          <w:sz w:val="24"/>
        </w:rPr>
        <w:t>StoreDot presents a compelling technological solution to a critical EV adoption barrier with promising partnerships and a strong IP base. However, significant information gaps—particularly financial transparency, independent technology validation, and commercial contract clarity—pose substantial risks. Investors should proceed cautiously, prioritizing rigorous due diligence and milestone-based investment to mitigate execution and market risks while capitalizing on the sizable opportunity in fast-charging battery technology.</w:t>
      </w:r>
    </w:p>
    <w:p>
      <w:pPr>
        <w:spacing w:line="360" w:lineRule="auto"/>
        <w:jc w:val="both"/>
      </w:pPr>
      <w:r>
        <w:rPr>
          <w:rFonts w:ascii="Times New Roman" w:hAnsi="Times New Roman"/>
          <w:sz w:val="24"/>
        </w:rPr>
        <w:t>Generated by VC Analysis System on July 13, 2025</w:t>
      </w:r>
    </w:p>
    <w:p>
      <w:pPr>
        <w:spacing w:line="360" w:lineRule="auto"/>
        <w:jc w:val="both"/>
      </w:pPr>
      <w:r>
        <w:rPr>
          <w:rFonts w:ascii="Times New Roman" w:hAnsi="Times New Roman"/>
          <w:sz w:val="24"/>
        </w:rPr>
        <w:t>Data Sources: Company documents, market research, competitive intelligence, technical analysis</w:t>
      </w:r>
    </w:p>
    <w:p>
      <w:pPr>
        <w:spacing w:line="360" w:lineRule="auto"/>
        <w:jc w:val="both"/>
      </w:pPr>
      <w:r>
        <w:rPr>
          <w:rFonts w:ascii="Times New Roman" w:hAnsi="Times New Roman"/>
          <w:sz w:val="24"/>
        </w:rPr>
        <w:t>Analysis Framework: Multi-agent AI system with specialized domain expertise</w:t>
      </w:r>
    </w:p>
    <w:p w14:paraId="13E79270" w14:textId="77777777" w:rsidR="00F87D6F" w:rsidRPr="00F87D6F" w:rsidRDefault="00F87D6F" w:rsidP="00F87D6F">
      <w:pPr>
        <w:spacing w:after="160" w:line="259" w:lineRule="auto"/>
        <w:rPr>
          <w:lang w:val="en-US"/>
        </w:rPr>
      </w:pPr>
    </w:p>
    <w:p w14:paraId="614BC716" w14:textId="77777777" w:rsidR="001A3A2E" w:rsidRDefault="001A3A2E" w:rsidP="001A3A2E">
      <w:pPr>
        <w:spacing w:after="160" w:line="259" w:lineRule="auto"/>
        <w:jc w:val="center"/>
        <w:rPr>
          <w:lang w:val="en-US"/>
        </w:rPr>
      </w:pPr>
    </w:p>
    <w:p w14:paraId="0EB7E562" w14:textId="77777777" w:rsidR="00830FE5" w:rsidRDefault="00830FE5" w:rsidP="001A3A2E">
      <w:pPr>
        <w:spacing w:after="160" w:line="259" w:lineRule="auto"/>
        <w:jc w:val="center"/>
        <w:rPr>
          <w:lang w:val="en-US"/>
        </w:rPr>
      </w:pPr>
    </w:p>
    <w:p w14:paraId="31709D37" w14:textId="77777777" w:rsidR="00830FE5" w:rsidRDefault="00830FE5" w:rsidP="001A3A2E">
      <w:pPr>
        <w:spacing w:after="160" w:line="259" w:lineRule="auto"/>
        <w:jc w:val="center"/>
        <w:rPr>
          <w:lang w:val="en-US"/>
        </w:rPr>
      </w:pPr>
    </w:p>
    <w:p w14:paraId="2ACAB304" w14:textId="77777777" w:rsidR="00830FE5" w:rsidRDefault="00830FE5" w:rsidP="001A3A2E">
      <w:pPr>
        <w:spacing w:after="160" w:line="259" w:lineRule="auto"/>
        <w:jc w:val="center"/>
        <w:rPr>
          <w:lang w:val="en-US"/>
        </w:rPr>
      </w:pPr>
    </w:p>
    <w:p w14:paraId="37860182" w14:textId="77777777" w:rsidR="00830FE5" w:rsidRDefault="00830FE5" w:rsidP="001A3A2E">
      <w:pPr>
        <w:spacing w:after="160" w:line="259" w:lineRule="auto"/>
        <w:jc w:val="center"/>
        <w:rPr>
          <w:lang w:val="en-US"/>
        </w:rPr>
      </w:pPr>
    </w:p>
    <w:p w14:paraId="08B643F9" w14:textId="77777777" w:rsidR="00830FE5" w:rsidRDefault="00830FE5" w:rsidP="001A3A2E">
      <w:pPr>
        <w:spacing w:after="160" w:line="259" w:lineRule="auto"/>
        <w:jc w:val="center"/>
        <w:rPr>
          <w:lang w:val="en-US"/>
        </w:rPr>
      </w:pPr>
    </w:p>
    <w:p w14:paraId="4B066404" w14:textId="77777777" w:rsidR="00830FE5" w:rsidRDefault="00830FE5" w:rsidP="001A3A2E">
      <w:pPr>
        <w:spacing w:after="160" w:line="259" w:lineRule="auto"/>
        <w:jc w:val="center"/>
        <w:rPr>
          <w:lang w:val="en-US"/>
        </w:rPr>
      </w:pPr>
    </w:p>
    <w:p w14:paraId="293321F0" w14:textId="77777777" w:rsidR="00830FE5" w:rsidRDefault="00830FE5" w:rsidP="001A3A2E">
      <w:pPr>
        <w:spacing w:after="160" w:line="259" w:lineRule="auto"/>
        <w:jc w:val="center"/>
        <w:rPr>
          <w:lang w:val="en-US"/>
        </w:rPr>
      </w:pPr>
    </w:p>
    <w:p w14:paraId="704C4B7E" w14:textId="77777777" w:rsidR="00830FE5" w:rsidRDefault="00830FE5" w:rsidP="001A3A2E">
      <w:pPr>
        <w:spacing w:after="160" w:line="259" w:lineRule="auto"/>
        <w:jc w:val="center"/>
        <w:rPr>
          <w:lang w:val="en-US"/>
        </w:rPr>
      </w:pPr>
    </w:p>
    <w:p w14:paraId="21905551" w14:textId="77777777" w:rsidR="00830FE5" w:rsidRDefault="00830FE5" w:rsidP="001A3A2E">
      <w:pPr>
        <w:spacing w:after="160" w:line="259" w:lineRule="auto"/>
        <w:jc w:val="center"/>
        <w:rPr>
          <w:lang w:val="en-US"/>
        </w:rPr>
      </w:pPr>
    </w:p>
    <w:p w14:paraId="78FE3437" w14:textId="77777777" w:rsidR="00830FE5" w:rsidRDefault="00830FE5" w:rsidP="001A3A2E">
      <w:pPr>
        <w:spacing w:after="160" w:line="259" w:lineRule="auto"/>
        <w:jc w:val="center"/>
        <w:rPr>
          <w:lang w:val="en-US"/>
        </w:rPr>
      </w:pPr>
    </w:p>
    <w:p w14:paraId="0D8D7E32" w14:textId="77777777" w:rsidR="00830FE5" w:rsidRDefault="00830FE5" w:rsidP="001A3A2E">
      <w:pPr>
        <w:spacing w:after="160" w:line="259" w:lineRule="auto"/>
        <w:jc w:val="center"/>
        <w:rPr>
          <w:lang w:val="en-US"/>
        </w:rPr>
      </w:pPr>
    </w:p>
    <w:p w14:paraId="0B7210AE" w14:textId="77777777" w:rsidR="00830FE5" w:rsidRDefault="00830FE5" w:rsidP="001A3A2E">
      <w:pPr>
        <w:spacing w:after="160" w:line="259" w:lineRule="auto"/>
        <w:jc w:val="center"/>
        <w:rPr>
          <w:lang w:val="en-US"/>
        </w:rPr>
      </w:pPr>
    </w:p>
    <w:p w14:paraId="5F3E52D7" w14:textId="27267B34" w:rsidR="00C802F8" w:rsidRDefault="00C802F8" w:rsidP="00C802F8">
      <w:pPr>
        <w:tabs>
          <w:tab w:val="left" w:pos="3060"/>
        </w:tabs>
        <w:rPr>
          <w:lang w:val="en-US"/>
        </w:rPr>
      </w:pPr>
    </w:p>
    <w:p w14:paraId="5C7D0E45" w14:textId="77777777" w:rsidR="00C802F8" w:rsidRPr="00C802F8" w:rsidRDefault="00C802F8" w:rsidP="00C802F8">
      <w:pPr>
        <w:tabs>
          <w:tab w:val="left" w:pos="3060"/>
        </w:tabs>
        <w:rPr>
          <w:lang w:val="en-US"/>
        </w:rPr>
      </w:pPr>
    </w:p>
    <w:sectPr w:rsidR="00C802F8"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302FA" w14:textId="77777777" w:rsidR="00A60FB3" w:rsidRDefault="00A60FB3">
      <w:r>
        <w:separator/>
      </w:r>
    </w:p>
  </w:endnote>
  <w:endnote w:type="continuationSeparator" w:id="0">
    <w:p w14:paraId="754131E9" w14:textId="77777777" w:rsidR="00A60FB3" w:rsidRDefault="00A60F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DD519" w14:textId="77777777" w:rsidR="00A60FB3" w:rsidRDefault="00A60FB3">
      <w:r>
        <w:separator/>
      </w:r>
    </w:p>
  </w:footnote>
  <w:footnote w:type="continuationSeparator" w:id="0">
    <w:p w14:paraId="51148DB3" w14:textId="77777777" w:rsidR="00A60FB3" w:rsidRDefault="00A60F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F1795"/>
    <w:rsid w:val="00100DC3"/>
    <w:rsid w:val="0010114C"/>
    <w:rsid w:val="0010647D"/>
    <w:rsid w:val="00141365"/>
    <w:rsid w:val="00162558"/>
    <w:rsid w:val="0016357A"/>
    <w:rsid w:val="001A3A2E"/>
    <w:rsid w:val="001B1E7A"/>
    <w:rsid w:val="001D6CB3"/>
    <w:rsid w:val="001E0BED"/>
    <w:rsid w:val="001E0C9C"/>
    <w:rsid w:val="001E39C3"/>
    <w:rsid w:val="00232F13"/>
    <w:rsid w:val="00234EF1"/>
    <w:rsid w:val="00250652"/>
    <w:rsid w:val="00265E77"/>
    <w:rsid w:val="00273721"/>
    <w:rsid w:val="002770C3"/>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96C35"/>
    <w:rsid w:val="003B13D1"/>
    <w:rsid w:val="003B53C2"/>
    <w:rsid w:val="003C7B21"/>
    <w:rsid w:val="003E3956"/>
    <w:rsid w:val="00413D1E"/>
    <w:rsid w:val="00436826"/>
    <w:rsid w:val="00440DA2"/>
    <w:rsid w:val="00447CC9"/>
    <w:rsid w:val="00451967"/>
    <w:rsid w:val="00464004"/>
    <w:rsid w:val="004757D9"/>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D6C76"/>
    <w:rsid w:val="005E4972"/>
    <w:rsid w:val="0060001D"/>
    <w:rsid w:val="006243AE"/>
    <w:rsid w:val="00632C10"/>
    <w:rsid w:val="00634BDE"/>
    <w:rsid w:val="00636596"/>
    <w:rsid w:val="0066245E"/>
    <w:rsid w:val="00674DE7"/>
    <w:rsid w:val="00686276"/>
    <w:rsid w:val="0069107B"/>
    <w:rsid w:val="00702FCC"/>
    <w:rsid w:val="00703322"/>
    <w:rsid w:val="0074038C"/>
    <w:rsid w:val="0074064F"/>
    <w:rsid w:val="0076074B"/>
    <w:rsid w:val="00774B00"/>
    <w:rsid w:val="0078102A"/>
    <w:rsid w:val="00783404"/>
    <w:rsid w:val="007F686E"/>
    <w:rsid w:val="008017F9"/>
    <w:rsid w:val="00801A6D"/>
    <w:rsid w:val="008155A3"/>
    <w:rsid w:val="00822182"/>
    <w:rsid w:val="0082219D"/>
    <w:rsid w:val="00830FE5"/>
    <w:rsid w:val="0085320E"/>
    <w:rsid w:val="00856191"/>
    <w:rsid w:val="00862895"/>
    <w:rsid w:val="00876060"/>
    <w:rsid w:val="008839E2"/>
    <w:rsid w:val="008A2E35"/>
    <w:rsid w:val="008A47F1"/>
    <w:rsid w:val="008D73E1"/>
    <w:rsid w:val="008F671B"/>
    <w:rsid w:val="00945232"/>
    <w:rsid w:val="009541BA"/>
    <w:rsid w:val="00982DE1"/>
    <w:rsid w:val="00990D45"/>
    <w:rsid w:val="0099453E"/>
    <w:rsid w:val="0099589D"/>
    <w:rsid w:val="009A3A09"/>
    <w:rsid w:val="009B2F00"/>
    <w:rsid w:val="009D5183"/>
    <w:rsid w:val="009F3BE2"/>
    <w:rsid w:val="00A23FF9"/>
    <w:rsid w:val="00A338C6"/>
    <w:rsid w:val="00A40514"/>
    <w:rsid w:val="00A47E41"/>
    <w:rsid w:val="00A60FB3"/>
    <w:rsid w:val="00A62D23"/>
    <w:rsid w:val="00A707A4"/>
    <w:rsid w:val="00A87409"/>
    <w:rsid w:val="00A9363E"/>
    <w:rsid w:val="00AA006C"/>
    <w:rsid w:val="00AA0EC2"/>
    <w:rsid w:val="00AB0AF8"/>
    <w:rsid w:val="00AB75E9"/>
    <w:rsid w:val="00AC1B34"/>
    <w:rsid w:val="00B0316B"/>
    <w:rsid w:val="00B15B62"/>
    <w:rsid w:val="00B25D09"/>
    <w:rsid w:val="00B46AF0"/>
    <w:rsid w:val="00B477DB"/>
    <w:rsid w:val="00B772E1"/>
    <w:rsid w:val="00B8450B"/>
    <w:rsid w:val="00C03617"/>
    <w:rsid w:val="00C12690"/>
    <w:rsid w:val="00C453AD"/>
    <w:rsid w:val="00C5032E"/>
    <w:rsid w:val="00C54893"/>
    <w:rsid w:val="00C802F8"/>
    <w:rsid w:val="00C86B66"/>
    <w:rsid w:val="00CB7D42"/>
    <w:rsid w:val="00CC3D37"/>
    <w:rsid w:val="00CC5672"/>
    <w:rsid w:val="00CD3684"/>
    <w:rsid w:val="00CE797F"/>
    <w:rsid w:val="00D23B43"/>
    <w:rsid w:val="00D24564"/>
    <w:rsid w:val="00D26639"/>
    <w:rsid w:val="00D41530"/>
    <w:rsid w:val="00D423BB"/>
    <w:rsid w:val="00D608EF"/>
    <w:rsid w:val="00D958FD"/>
    <w:rsid w:val="00DB3B09"/>
    <w:rsid w:val="00DB5DB9"/>
    <w:rsid w:val="00DC3BC2"/>
    <w:rsid w:val="00DD5753"/>
    <w:rsid w:val="00E03B14"/>
    <w:rsid w:val="00E1228B"/>
    <w:rsid w:val="00E13F5E"/>
    <w:rsid w:val="00E43305"/>
    <w:rsid w:val="00E47931"/>
    <w:rsid w:val="00E6500E"/>
    <w:rsid w:val="00E81B94"/>
    <w:rsid w:val="00E832E8"/>
    <w:rsid w:val="00E8429D"/>
    <w:rsid w:val="00EB4BA7"/>
    <w:rsid w:val="00F15DA4"/>
    <w:rsid w:val="00F25176"/>
    <w:rsid w:val="00F5288C"/>
    <w:rsid w:val="00F87D6F"/>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10</Words>
  <Characters>63</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72</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9</cp:revision>
  <cp:lastPrinted>2012-08-22T12:07:00Z</cp:lastPrinted>
  <dcterms:created xsi:type="dcterms:W3CDTF">2025-07-11T11:27:00Z</dcterms:created>
  <dcterms:modified xsi:type="dcterms:W3CDTF">2025-07-13T09:10:00Z</dcterms:modified>
</cp:coreProperties>
</file>