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995B27C" w14:textId="77777777" w:rsidR="00703322" w:rsidRDefault="001A3A2E" w:rsidP="00703322">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1DF7B2BD" w14:textId="77777777" w:rsidR="00703322" w:rsidRDefault="00703322" w:rsidP="00703322">
      <w:pPr>
        <w:spacing w:after="160" w:line="259" w:lineRule="auto"/>
        <w:rPr>
          <w:rFonts w:ascii="Menlo" w:hAnsi="Menlo" w:cs="Menlo"/>
          <w:color w:val="D8DEE9"/>
          <w:sz w:val="18"/>
          <w:szCs w:val="18"/>
        </w:rPr>
      </w:pPr>
    </w:p>
    <w:p w14:paraId="24F1EBB9" w14:textId="77777777" w:rsidR="00703322" w:rsidRDefault="00703322" w:rsidP="00703322">
      <w:pPr>
        <w:spacing w:after="160" w:line="259" w:lineRule="auto"/>
        <w:rPr>
          <w:rFonts w:ascii="Menlo" w:hAnsi="Menlo" w:cs="Menlo"/>
          <w:color w:val="D8DEE9"/>
          <w:sz w:val="18"/>
          <w:szCs w:val="18"/>
        </w:rPr>
      </w:pPr>
    </w:p>
    <w:p w14:paraId="17A5DC13" w14:textId="4F8463B5" w:rsidR="00702FCC" w:rsidRPr="00703322" w:rsidRDefault="00702FCC" w:rsidP="00686276">
      <w:pPr>
        <w:spacing w:after="160" w:line="259" w:lineRule="auto"/>
        <w:jc w:val="center"/>
        <w:rPr>
          <w:lang w:val="en-US"/>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13, 2025 at 04:08 PM</w:t>
      </w:r>
    </w:p>
    <w:p w14:paraId="014DC5EA" w14:textId="77777777" w:rsidR="00702FCC" w:rsidRDefault="00702FCC" w:rsidP="001A3A2E">
      <w:pPr>
        <w:spacing w:after="160" w:line="259" w:lineRule="auto"/>
        <w:jc w:val="center"/>
        <w:rPr>
          <w:rFonts w:ascii="Menlo" w:hAnsi="Menlo" w:cs="Menlo"/>
          <w:color w:val="D8DEE9"/>
          <w:sz w:val="18"/>
          <w:szCs w:val="18"/>
        </w:rPr>
      </w:pPr>
    </w:p>
    <w:p w14:paraId="7F965642" w14:textId="77777777" w:rsidR="00702FCC" w:rsidRDefault="00702FCC" w:rsidP="001A3A2E">
      <w:pPr>
        <w:spacing w:after="160" w:line="259" w:lineRule="auto"/>
        <w:jc w:val="center"/>
        <w:rPr>
          <w:rFonts w:ascii="Menlo" w:hAnsi="Menlo" w:cs="Menlo"/>
          <w:color w:val="D8DEE9"/>
          <w:sz w:val="18"/>
          <w:szCs w:val="18"/>
        </w:rPr>
      </w:pPr>
    </w:p>
    <w:p w14:paraId="2B894E95" w14:textId="77777777" w:rsidR="00702FCC" w:rsidRDefault="00702FCC" w:rsidP="001A3A2E">
      <w:pPr>
        <w:spacing w:after="160" w:line="259" w:lineRule="auto"/>
        <w:jc w:val="center"/>
        <w:rPr>
          <w:rFonts w:ascii="Menlo" w:hAnsi="Menlo" w:cs="Menlo"/>
          <w:color w:val="D8DEE9"/>
          <w:sz w:val="18"/>
          <w:szCs w:val="18"/>
        </w:rPr>
      </w:pPr>
    </w:p>
    <w:p w14:paraId="6E22BD3D" w14:textId="77777777" w:rsidR="00702FCC" w:rsidRDefault="00702FCC" w:rsidP="001A3A2E">
      <w:pPr>
        <w:spacing w:after="160" w:line="259" w:lineRule="auto"/>
        <w:jc w:val="center"/>
        <w:rPr>
          <w:rFonts w:ascii="Menlo" w:hAnsi="Menlo" w:cs="Menlo"/>
          <w:color w:val="D8DEE9"/>
          <w:sz w:val="18"/>
          <w:szCs w:val="18"/>
        </w:rPr>
      </w:pPr>
    </w:p>
    <w:p w14:paraId="5B842F05" w14:textId="77777777" w:rsidR="00702FCC" w:rsidRDefault="00702FCC" w:rsidP="001A3A2E">
      <w:pPr>
        <w:spacing w:after="160" w:line="259" w:lineRule="auto"/>
        <w:jc w:val="center"/>
        <w:rPr>
          <w:rFonts w:ascii="Menlo" w:hAnsi="Menlo" w:cs="Menlo"/>
          <w:color w:val="D8DEE9"/>
          <w:sz w:val="18"/>
          <w:szCs w:val="18"/>
        </w:rPr>
      </w:pPr>
    </w:p>
    <w:p w14:paraId="76AD162C" w14:textId="77777777" w:rsidR="00702FCC" w:rsidRDefault="00702FCC" w:rsidP="001A3A2E">
      <w:pPr>
        <w:spacing w:after="160" w:line="259" w:lineRule="auto"/>
        <w:jc w:val="center"/>
        <w:rPr>
          <w:rFonts w:ascii="Menlo" w:hAnsi="Menlo" w:cs="Menlo"/>
          <w:color w:val="D8DEE9"/>
          <w:sz w:val="18"/>
          <w:szCs w:val="18"/>
        </w:rPr>
      </w:pPr>
    </w:p>
    <w:p w14:paraId="3C39B1ED" w14:textId="77777777" w:rsidR="00702FCC" w:rsidRDefault="00702FCC" w:rsidP="001A3A2E">
      <w:pPr>
        <w:spacing w:after="160" w:line="259" w:lineRule="auto"/>
        <w:jc w:val="center"/>
        <w:rPr>
          <w:rFonts w:ascii="Menlo" w:hAnsi="Menlo" w:cs="Menlo"/>
          <w:color w:val="D8DEE9"/>
          <w:sz w:val="18"/>
          <w:szCs w:val="18"/>
        </w:rPr>
      </w:pPr>
    </w:p>
    <w:p w14:paraId="2B1E280D" w14:textId="77777777" w:rsidR="00702FCC" w:rsidRDefault="00702FCC" w:rsidP="001A3A2E">
      <w:pPr>
        <w:spacing w:after="160" w:line="259" w:lineRule="auto"/>
        <w:jc w:val="center"/>
        <w:rPr>
          <w:rFonts w:ascii="Menlo" w:hAnsi="Menlo" w:cs="Menlo"/>
          <w:color w:val="D8DEE9"/>
          <w:sz w:val="18"/>
          <w:szCs w:val="18"/>
        </w:rPr>
      </w:pPr>
    </w:p>
    <w:p w14:paraId="161CFFB7" w14:textId="77777777" w:rsidR="00702FCC" w:rsidRDefault="00702FCC" w:rsidP="001A3A2E">
      <w:pPr>
        <w:spacing w:after="160" w:line="259" w:lineRule="auto"/>
        <w:jc w:val="center"/>
        <w:rPr>
          <w:rFonts w:ascii="Menlo" w:hAnsi="Menlo" w:cs="Menlo"/>
          <w:color w:val="D8DEE9"/>
          <w:sz w:val="18"/>
          <w:szCs w:val="18"/>
        </w:rPr>
      </w:pPr>
    </w:p>
    <w:p w14:paraId="7399C058" w14:textId="77777777" w:rsidR="00702FCC" w:rsidRDefault="00702FCC" w:rsidP="001A3A2E">
      <w:pPr>
        <w:spacing w:after="160" w:line="259" w:lineRule="auto"/>
        <w:jc w:val="center"/>
        <w:rPr>
          <w:rFonts w:ascii="Menlo" w:hAnsi="Menlo" w:cs="Menlo"/>
          <w:color w:val="D8DEE9"/>
          <w:sz w:val="18"/>
          <w:szCs w:val="18"/>
        </w:rPr>
      </w:pPr>
    </w:p>
    <w:p w14:paraId="5D7F161C" w14:textId="77777777" w:rsidR="00702FCC" w:rsidRDefault="00702FCC" w:rsidP="001A3A2E">
      <w:pPr>
        <w:spacing w:after="160" w:line="259" w:lineRule="auto"/>
        <w:jc w:val="center"/>
        <w:rPr>
          <w:rFonts w:ascii="Menlo" w:hAnsi="Menlo" w:cs="Menlo"/>
          <w:color w:val="D8DEE9"/>
          <w:sz w:val="18"/>
          <w:szCs w:val="18"/>
        </w:rPr>
      </w:pPr>
    </w:p>
    <w:p w14:paraId="1EFE5BE7" w14:textId="77777777" w:rsidR="00702FCC" w:rsidRDefault="00702FCC" w:rsidP="001A3A2E">
      <w:pPr>
        <w:spacing w:after="160" w:line="259" w:lineRule="auto"/>
        <w:jc w:val="center"/>
        <w:rPr>
          <w:rFonts w:ascii="Menlo" w:hAnsi="Menlo" w:cs="Menlo"/>
          <w:color w:val="D8DEE9"/>
          <w:sz w:val="18"/>
          <w:szCs w:val="18"/>
        </w:rPr>
      </w:pPr>
    </w:p>
    <w:p w14:paraId="050316B2" w14:textId="77777777" w:rsidR="00702FCC" w:rsidRDefault="00702FCC" w:rsidP="001A3A2E">
      <w:pPr>
        <w:spacing w:after="160" w:line="259" w:lineRule="auto"/>
        <w:jc w:val="center"/>
        <w:rPr>
          <w:rFonts w:ascii="Menlo" w:hAnsi="Menlo" w:cs="Menlo"/>
          <w:color w:val="D8DEE9"/>
          <w:sz w:val="18"/>
          <w:szCs w:val="18"/>
        </w:rPr>
      </w:pPr>
    </w:p>
    <w:p w14:paraId="70D761EC" w14:textId="77777777" w:rsidR="00702FCC" w:rsidRDefault="00702FCC" w:rsidP="001A3A2E">
      <w:pPr>
        <w:spacing w:after="160" w:line="259" w:lineRule="auto"/>
        <w:jc w:val="center"/>
        <w:rPr>
          <w:rFonts w:ascii="Menlo" w:hAnsi="Menlo" w:cs="Menlo"/>
          <w:color w:val="D8DEE9"/>
          <w:sz w:val="18"/>
          <w:szCs w:val="18"/>
        </w:rPr>
      </w:pPr>
    </w:p>
    <w:p w14:paraId="0E6225F1" w14:textId="246BB6DF" w:rsidR="00702FCC" w:rsidRDefault="00702FCC" w:rsidP="00702FCC">
      <w:pPr>
        <w:spacing w:after="160" w:line="360" w:lineRule="auto"/>
        <w:jc w:val="both"/>
        <w:rPr>
          <w:lang w:val="en-US"/>
        </w:rPr>
      </w:pPr>
      <w:r>
        <w:rPr>
          <w:rFonts w:ascii="Times New Roman" w:hAnsi="Times New Roman"/>
          <w:sz w:val="24"/>
        </w:rPr>
        <w:t>INVESTMENT MEMORANDUM – StoreDot</w:t>
      </w:r>
    </w:p>
    <w:p>
      <w:pPr>
        <w:spacing w:line="360" w:lineRule="auto"/>
        <w:jc w:val="both"/>
      </w:pPr>
      <w:r>
        <w:rPr>
          <w:rFonts w:ascii="Times New Roman" w:hAnsi="Times New Roman"/>
          <w:sz w:val="24"/>
        </w:rPr>
        <w:t>(Prepared July 13, 2025)</w:t>
      </w:r>
    </w:p>
    <w:p>
      <w:pPr>
        <w:spacing w:after="240" w:line="360" w:lineRule="auto"/>
        <w:jc w:val="both"/>
      </w:pPr>
      <w:r>
        <w:rPr>
          <w:rFonts w:ascii="Times New Roman" w:hAnsi="Times New Roman"/>
          <w:b/>
          <w:sz w:val="24"/>
        </w:rPr>
        <w:t>1. DETAILED SUMMARY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line="360" w:lineRule="auto"/>
        <w:jc w:val="both"/>
      </w:pPr>
      <w:r>
        <w:rPr>
          <w:rFonts w:ascii="Times New Roman" w:hAnsi="Times New Roman"/>
          <w:sz w:val="24"/>
        </w:rPr>
        <w:t>2. COMPANY OVERVIEW (including team and website)</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unknown</w:t>
      </w:r>
    </w:p>
    <w:p>
      <w:pPr>
        <w:spacing w:line="360" w:lineRule="auto"/>
        <w:jc w:val="both"/>
      </w:pPr>
      <w:r>
        <w:rPr>
          <w:rFonts w:ascii="Times New Roman" w:hAnsi="Times New Roman"/>
          <w:sz w:val="24"/>
        </w:rPr>
        <w:t>Team: Doron Myersdorf</w:t>
      </w:r>
    </w:p>
    <w:p>
      <w:pPr>
        <w:spacing w:after="240" w:line="360" w:lineRule="auto"/>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after="240" w:line="360" w:lineRule="auto"/>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after="240" w:line="360" w:lineRule="auto"/>
        <w:jc w:val="both"/>
      </w:pPr>
      <w:r>
        <w:rPr>
          <w:rFonts w:ascii="Times New Roman" w:hAnsi="Times New Roman"/>
          <w:b/>
          <w:sz w:val="24"/>
        </w:rPr>
        <w:t>5. MARKET SIZE &amp; ANALYSIS</w:t>
      </w:r>
    </w:p>
    <w:p>
      <w:pPr>
        <w:spacing w:line="360" w:lineRule="auto"/>
        <w:jc w:val="both"/>
      </w:pPr>
      <w:r>
        <w:rPr>
          <w:rFonts w:ascii="Times New Roman" w:hAnsi="Times New Roman"/>
          <w:sz w:val="24"/>
        </w:rPr>
        <w:t>TAM: $120000.0M (Source: StoreDot April 2023 Corporate Overview)</w:t>
      </w:r>
    </w:p>
    <w:p>
      <w:pPr>
        <w:spacing w:line="360" w:lineRule="auto"/>
        <w:jc w:val="both"/>
      </w:pPr>
      <w:r>
        <w:rPr>
          <w:rFonts w:ascii="Times New Roman" w:hAnsi="Times New Roman"/>
          <w:sz w:val="24"/>
        </w:rPr>
        <w:t>SAM: $30000.0M (Source: StoreDot April 2023 Corporate Overview)</w:t>
      </w:r>
    </w:p>
    <w:p>
      <w:pPr>
        <w:spacing w:line="360" w:lineRule="auto"/>
        <w:jc w:val="both"/>
      </w:pPr>
      <w:r>
        <w:rPr>
          <w:rFonts w:ascii="Times New Roman" w:hAnsi="Times New Roman"/>
          <w:sz w:val="24"/>
        </w:rPr>
        <w:t>SOM: $3000.0M (Source: StoreDot April 2023 Corporate Overview)</w:t>
      </w:r>
    </w:p>
    <w:p>
      <w:pPr>
        <w:spacing w:line="360" w:lineRule="auto"/>
        <w:jc w:val="both"/>
      </w:pPr>
      <w:r>
        <w:rPr>
          <w:rFonts w:ascii="Times New Roman" w:hAnsi="Times New Roman"/>
          <w:sz w:val="24"/>
        </w:rPr>
        <w:t>Market Penetration Potential: 2.5%</w:t>
      </w:r>
    </w:p>
    <w:p>
      <w:pPr>
        <w:spacing w:line="360" w:lineRule="auto"/>
        <w:jc w:val="both"/>
      </w:pPr>
      <w:r>
        <w:rPr>
          <w:rFonts w:ascii="Times New Roman" w:hAnsi="Times New Roman"/>
          <w:sz w:val="24"/>
        </w:rPr>
        <w:t>Battery Technology</w:t>
      </w:r>
    </w:p>
    <w:p>
      <w:pPr>
        <w:spacing w:line="360" w:lineRule="auto"/>
        <w:jc w:val="both"/>
      </w:pPr>
      <w:r>
        <w:rPr>
          <w:rFonts w:ascii="Times New Roman" w:hAnsi="Times New Roman"/>
          <w:sz w:val="24"/>
        </w:rPr>
        <w:t>--- Extracted Tables ---</w:t>
      </w:r>
    </w:p>
    <w:p>
      <w:pPr>
        <w:spacing w:line="360" w:lineRule="auto"/>
        <w:jc w:val="both"/>
      </w:pPr>
      <w:r>
        <w:rPr>
          <w:rFonts w:ascii="Times New Roman" w:hAnsi="Times New Roman"/>
          <w:sz w:val="24"/>
        </w:rPr>
        <w:t>No tables extracted.</w:t>
      </w:r>
    </w:p>
    <w:p>
      <w:pPr>
        <w:spacing w:line="360" w:lineRule="auto"/>
        <w:jc w:val="both"/>
      </w:pPr>
      <w:r>
        <w:rPr>
          <w:rFonts w:ascii="Times New Roman" w:hAnsi="Times New Roman"/>
          <w:sz w:val="24"/>
        </w:rPr>
        <w:t>6. COMPETITIVE LANDSCAPE (with identified competitors)</w:t>
      </w:r>
    </w:p>
    <w:p>
      <w:pPr>
        <w:spacing w:line="360" w:lineRule="auto"/>
        <w:jc w:val="both"/>
      </w:pPr>
      <w:r>
        <w:rPr>
          <w:rFonts w:ascii="Times New Roman" w:hAnsi="Times New Roman"/>
          <w:sz w:val="24"/>
        </w:rPr>
        <w:t>QuantumScape: Focuses on solid-state lithium-metal batteries promising higher energy density and faster charging for electric vehicles..</w:t>
      </w:r>
    </w:p>
    <w:p>
      <w:pPr>
        <w:spacing w:line="360" w:lineRule="auto"/>
        <w:jc w:val="both"/>
      </w:pPr>
      <w:r>
        <w:rPr>
          <w:rFonts w:ascii="Times New Roman" w:hAnsi="Times New Roman"/>
          <w:sz w:val="24"/>
        </w:rPr>
        <w:t>Sila Nanotechnologies: Develops silicon-based anode materials to significantly improve lithium-ion battery energy density and charging speed..</w:t>
      </w:r>
    </w:p>
    <w:p>
      <w:pPr>
        <w:spacing w:line="360" w:lineRule="auto"/>
        <w:jc w:val="both"/>
      </w:pPr>
      <w:r>
        <w:rPr>
          <w:rFonts w:ascii="Times New Roman" w:hAnsi="Times New Roman"/>
          <w:sz w:val="24"/>
        </w:rPr>
        <w:t>Solid Power: Specializes in all-solid-state battery technology targeting safer, higher capacity batteries for automotive applications..</w:t>
      </w:r>
    </w:p>
    <w:p>
      <w:pPr>
        <w:spacing w:after="240" w:line="360" w:lineRule="auto"/>
        <w:jc w:val="both"/>
      </w:pPr>
      <w:r>
        <w:rPr>
          <w:rFonts w:ascii="Times New Roman" w:hAnsi="Times New Roman"/>
          <w:b/>
          <w:sz w:val="24"/>
        </w:rPr>
        <w:t>7. BUSINESS MODEL</w:t>
      </w:r>
    </w:p>
    <w:p>
      <w:pPr>
        <w:spacing w:line="360" w:lineRule="auto"/>
        <w:jc w:val="both"/>
      </w:pPr>
      <w:r>
        <w:rPr>
          <w:rFonts w:ascii="Times New Roman" w:hAnsi="Times New Roman"/>
          <w:sz w:val="24"/>
        </w:rPr>
        <w:t>StoreDot is a battery technology startup focused on enabling extreme fast charging (XFC) for electric vehicles (EVs), aiming to eliminate "charging anxiety" by delivering a 100-mile charge in 5 to 10 minutes. Their proprietary silicon-dominant anode lithium-ion cells, compatible with existing Li-ion manufacturing lines, offer over 1200 consecutive fast charge cycles without degradation, positioning them as a near-term (commercial readiness by 2025) scalable solution for mass EV adoption. StoreDot targets OEMs and battery manufacturers as primary customers, licensing its technology to leverage existing production CAPEX and accelerate market penetration. Their go-to-market strategy involves ongoing testing and partnerships with over 15 OEMs and manufacturing partners worldwide, emphasizing compatibility, cost-effectiveness, and rapid deployment. Recent materials show no major pivots but highlight a clear roadmap toward semi-solid and post-lithium battery chemistries by 2028 and 2032, respectively, maintaining a technology leadership edge. Sources: StoreDot April 2023 Corporate Overview; UBS EV Battery Market reports.</w:t>
      </w:r>
    </w:p>
    <w:p>
      <w:pPr>
        <w:spacing w:after="240" w:line="360" w:lineRule="auto"/>
        <w:jc w:val="both"/>
      </w:pPr>
      <w:r>
        <w:rPr>
          <w:rFonts w:ascii="Times New Roman" w:hAnsi="Times New Roman"/>
          <w:b/>
          <w:sz w:val="24"/>
        </w:rPr>
        <w:t>8. TECHNICAL DUE DILIGENCE</w:t>
      </w:r>
    </w:p>
    <w:p>
      <w:pPr>
        <w:spacing w:line="360" w:lineRule="auto"/>
        <w:jc w:val="both"/>
      </w:pPr>
      <w:r>
        <w:rPr>
          <w:rFonts w:ascii="Times New Roman" w:hAnsi="Times New Roman"/>
          <w:sz w:val="24"/>
        </w:rPr>
        <w:t>Maturity Level: beta</w:t>
      </w:r>
    </w:p>
    <w:p>
      <w:pPr>
        <w:spacing w:line="360" w:lineRule="auto"/>
        <w:jc w:val="both"/>
      </w:pPr>
      <w:r>
        <w:rPr>
          <w:rFonts w:ascii="Times New Roman" w:hAnsi="Times New Roman"/>
          <w:sz w:val="24"/>
        </w:rPr>
        <w:t>Technical Moat: Leading extreme fast charging technology with proven performance and scalability</w:t>
      </w:r>
    </w:p>
    <w:p>
      <w:pPr>
        <w:spacing w:line="360" w:lineRule="auto"/>
        <w:jc w:val="both"/>
      </w:pPr>
      <w:r>
        <w:rPr>
          <w:rFonts w:ascii="Times New Roman" w:hAnsi="Times New Roman"/>
          <w:sz w:val="24"/>
        </w:rPr>
        <w:t>Tech Stack: N/A</w:t>
      </w:r>
    </w:p>
    <w:p>
      <w:pPr>
        <w:spacing w:line="360" w:lineRule="auto"/>
        <w:jc w:val="both"/>
      </w:pPr>
      <w:r>
        <w:rPr>
          <w:rFonts w:ascii="Times New Roman" w:hAnsi="Times New Roman"/>
          <w:sz w:val="24"/>
        </w:rPr>
        <w:t>Scalability:</w:t>
      </w:r>
    </w:p>
    <w:p>
      <w:pPr>
        <w:spacing w:line="360" w:lineRule="auto"/>
        <w:jc w:val="both"/>
      </w:pPr>
      <w:r>
        <w:rPr>
          <w:rFonts w:ascii="Times New Roman" w:hAnsi="Times New Roman"/>
          <w:sz w:val="24"/>
        </w:rPr>
        <w:t>Security:</w:t>
      </w:r>
    </w:p>
    <w:p>
      <w:pPr>
        <w:spacing w:after="240" w:line="360" w:lineRule="auto"/>
        <w:jc w:val="both"/>
      </w:pPr>
      <w:r>
        <w:rPr>
          <w:rFonts w:ascii="Times New Roman" w:hAnsi="Times New Roman"/>
          <w:b/>
          <w:sz w:val="24"/>
        </w:rPr>
        <w:t>9. PRODUCT DESCRIPTION</w:t>
      </w:r>
    </w:p>
    <w:p>
      <w:pPr>
        <w:spacing w:line="360" w:lineRule="auto"/>
        <w:jc w:val="both"/>
      </w:pPr>
      <w:r>
        <w:rPr>
          <w:rFonts w:ascii="Times New Roman" w:hAnsi="Times New Roman"/>
          <w:sz w:val="24"/>
        </w:rPr>
        <w:t>Leading extreme fast charging technology with proven performance and scalability</w:t>
      </w:r>
    </w:p>
    <w:p>
      <w:pPr>
        <w:spacing w:line="360" w:lineRule="auto"/>
        <w:jc w:val="both"/>
      </w:pPr>
      <w:r>
        <w:rPr>
          <w:rFonts w:ascii="Times New Roman" w:hAnsi="Times New Roman"/>
          <w:sz w:val="24"/>
        </w:rPr>
        <w:t>10. FINANCIAL ANALYSIS (with commentary on data availability)</w:t>
      </w:r>
    </w:p>
    <w:p>
      <w:pPr>
        <w:spacing w:line="360" w:lineRule="auto"/>
        <w:jc w:val="both"/>
      </w:pPr>
      <w:r>
        <w:rPr>
          <w:rFonts w:ascii="Times New Roman" w:hAnsi="Times New Roman"/>
          <w:sz w:val="24"/>
        </w:rPr>
        <w:t>Implied Valuation: $N/AM</w:t>
      </w:r>
    </w:p>
    <w:p>
      <w:pPr>
        <w:spacing w:line="360" w:lineRule="auto"/>
        <w:jc w:val="both"/>
      </w:pPr>
      <w:r>
        <w:rPr>
          <w:rFonts w:ascii="Times New Roman" w:hAnsi="Times New Roman"/>
          <w:sz w:val="24"/>
        </w:rPr>
        <w:t>Cash Burn (12 months): $N/AM</w:t>
      </w:r>
    </w:p>
    <w:p>
      <w:pPr>
        <w:spacing w:line="360" w:lineRule="auto"/>
        <w:jc w:val="both"/>
      </w:pPr>
      <w:r>
        <w:rPr>
          <w:rFonts w:ascii="Times New Roman" w:hAnsi="Times New Roman"/>
          <w:sz w:val="24"/>
        </w:rPr>
        <w:t>Runway: 0 months</w:t>
      </w:r>
    </w:p>
    <w:p>
      <w:pPr>
        <w:spacing w:line="360" w:lineRule="auto"/>
        <w:jc w:val="both"/>
      </w:pPr>
      <w:r>
        <w:rPr>
          <w:rFonts w:ascii="Times New Roman" w:hAnsi="Times New Roman"/>
          <w:sz w:val="24"/>
        </w:rPr>
        <w:t>Valuation Multiple: 0.0</w:t>
      </w:r>
    </w:p>
    <w:p>
      <w:pPr>
        <w:spacing w:line="360" w:lineRule="auto"/>
        <w:jc w:val="both"/>
      </w:pPr>
      <w:r>
        <w:rPr>
          <w:rFonts w:ascii="Times New Roman" w:hAnsi="Times New Roman"/>
          <w:sz w:val="24"/>
        </w:rPr>
        <w:t>Financial data is unavailable.</w:t>
      </w:r>
    </w:p>
    <w:p>
      <w:pPr>
        <w:spacing w:line="360" w:lineRule="auto"/>
        <w:jc w:val="both"/>
      </w:pPr>
      <w:r>
        <w:rPr>
          <w:rFonts w:ascii="Times New Roman" w:hAnsi="Times New Roman"/>
          <w:sz w:val="24"/>
        </w:rPr>
        <w:t>--- Extracted Tables (Financial) ---</w:t>
      </w:r>
    </w:p>
    <w:p>
      <w:pPr>
        <w:spacing w:after="240" w:line="360" w:lineRule="auto"/>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Founder Fit Score: 0.8 / 1.0</w:t>
      </w:r>
    </w:p>
    <w:p>
      <w:pPr>
        <w:spacing w:line="360" w:lineRule="auto"/>
        <w:jc w:val="both"/>
      </w:pPr>
      <w:r>
        <w:rPr>
          <w:rFonts w:ascii="Times New Roman" w:hAnsi="Times New Roman"/>
          <w:sz w:val="24"/>
        </w:rPr>
        <w:t>Prior Exits: 2</w:t>
      </w:r>
    </w:p>
    <w:p>
      <w:pPr>
        <w:spacing w:line="360" w:lineRule="auto"/>
        <w:jc w:val="both"/>
      </w:pPr>
      <w:r>
        <w:rPr>
          <w:rFonts w:ascii="Times New Roman" w:hAnsi="Times New Roman"/>
          <w:sz w:val="24"/>
        </w:rPr>
        <w:t>Sector Experience: Battery Technology</w:t>
      </w:r>
    </w:p>
    <w:p>
      <w:pPr>
        <w:spacing w:after="240" w:line="360" w:lineRule="auto"/>
        <w:jc w:val="both"/>
      </w:pPr>
      <w:r>
        <w:rPr>
          <w:rFonts w:ascii="Times New Roman" w:hAnsi="Times New Roman"/>
          <w:b/>
          <w:sz w:val="24"/>
        </w:rPr>
        <w:t>12. ESG CONSIDERATIONS</w:t>
      </w:r>
    </w:p>
    <w:p>
      <w:pPr>
        <w:spacing w:line="360" w:lineRule="auto"/>
        <w:jc w:val="both"/>
      </w:pPr>
      <w:r>
        <w:rPr>
          <w:rFonts w:ascii="Times New Roman" w:hAnsi="Times New Roman"/>
          <w:sz w:val="24"/>
        </w:rPr>
        <w:t>StoreDot is an advanced battery technology startup focused on enabling extreme fast charging (XFC) for electric vehicles (EVs), aiming to address key barriers to EV adoption such as charging speed and infrastructure limitations. Their technology promises significant sustainability benefits by reducing "charging anxiety," improving battery longevity (&gt;1200 XFC cycles without degradation), and lowering cobalt content, which aligns with responsible material sourcing and environmental impact reduction. The company’s scalable, lithium-ion compatible technology supports industry timelines and regulatory trends favoring rapid EV adoption, particularly in major markets like the US, EU, and China. Governance appears strong with an experienced leadership team and advisory board from automotive and battery sectors, though detailed ESG policies or social impact initiatives are not explicitly outlined in the provided materials. No recent ESG controversies or negative news were identified in available sources. Further information on StoreDot’s supply chain practices, labor standards, and detailed environmental impact assessments would be needed for a comprehensive ESG evaluation.</w:t>
      </w:r>
    </w:p>
    <w:p>
      <w:pPr>
        <w:spacing w:after="240" w:line="360" w:lineRule="auto"/>
        <w:jc w:val="both"/>
      </w:pPr>
      <w:r>
        <w:rPr>
          <w:rFonts w:ascii="Times New Roman" w:hAnsi="Times New Roman"/>
          <w:b/>
          <w:sz w:val="24"/>
        </w:rPr>
        <w:t>13. RISKS &amp; MITIGATIONS</w:t>
      </w:r>
    </w:p>
    <w:p>
      <w:pPr>
        <w:spacing w:line="360" w:lineRule="auto"/>
        <w:jc w:val="both"/>
      </w:pPr>
      <w:r>
        <w:rPr>
          <w:rFonts w:ascii="Times New Roman" w:hAnsi="Times New Roman"/>
          <w:sz w:val="24"/>
        </w:rPr>
        <w:t>Overall Risk Level: HIGH</w:t>
      </w:r>
    </w:p>
    <w:p>
      <w:pPr>
        <w:spacing w:line="360" w:lineRule="auto"/>
        <w:jc w:val="both"/>
      </w:pPr>
      <w:r>
        <w:rPr>
          <w:rFonts w:ascii="Times New Roman" w:hAnsi="Times New Roman"/>
          <w:sz w:val="24"/>
        </w:rPr>
        <w:t>Risk Score: N/A / 1.0</w:t>
      </w:r>
    </w:p>
    <w:p>
      <w:pPr>
        <w:spacing w:line="360" w:lineRule="auto"/>
        <w:jc w:val="both"/>
      </w:pPr>
      <w:r>
        <w:rPr>
          <w:rFonts w:ascii="Times New Roman" w:hAnsi="Times New Roman"/>
          <w:sz w:val="24"/>
        </w:rPr>
        <w:t>IDENTIFIED RISKS:</w:t>
      </w:r>
    </w:p>
    <w:p>
      <w:pPr>
        <w:spacing w:line="360" w:lineRule="auto"/>
        <w:jc w:val="both"/>
      </w:pPr>
      <w:r>
        <w:rPr>
          <w:rFonts w:ascii="Times New Roman" w:hAnsi="Times New Roman"/>
          <w:sz w:val="24"/>
        </w:rPr>
        <w:t>1. Tech maturity - beta</w:t>
      </w:r>
    </w:p>
    <w:p>
      <w:pPr>
        <w:spacing w:line="360" w:lineRule="auto"/>
        <w:jc w:val="both"/>
      </w:pPr>
      <w:r>
        <w:rPr>
          <w:rFonts w:ascii="Times New Roman" w:hAnsi="Times New Roman"/>
          <w:sz w:val="24"/>
        </w:rPr>
        <w:t>2. Limited financial data</w:t>
      </w:r>
    </w:p>
    <w:p>
      <w:pPr>
        <w:spacing w:line="360" w:lineRule="auto"/>
        <w:jc w:val="both"/>
      </w:pPr>
      <w:r>
        <w:rPr>
          <w:rFonts w:ascii="Times New Roman" w:hAnsi="Times New Roman"/>
          <w:sz w:val="24"/>
        </w:rPr>
        <w:t>3. Regulatory risks</w:t>
      </w:r>
    </w:p>
    <w:p>
      <w:pPr>
        <w:spacing w:line="360" w:lineRule="auto"/>
        <w:jc w:val="both"/>
      </w:pPr>
      <w:r>
        <w:rPr>
          <w:rFonts w:ascii="Times New Roman" w:hAnsi="Times New Roman"/>
          <w:sz w:val="24"/>
        </w:rPr>
        <w:t>4. Market timing</w:t>
      </w:r>
    </w:p>
    <w:p>
      <w:pPr>
        <w:spacing w:after="240" w:line="360" w:lineRule="auto"/>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seems to have a promising future in the EV industry. With a 3-5 years lead on alternative solutions and ongoing testing by OEMs, StoreDot could potentially attract acquisition interest from major players in the automotive or tech industry looking to enhance their EV offerings. An IPO could also be a viable exit strategy, especially if StoreDot continues to demonstrate technological superiority and commercial readiness. However, more data on financials, market traction, and potential acquirers would be needed to provide a more comprehensive analysis.</w:t>
      </w:r>
    </w:p>
    <w:p>
      <w:pPr>
        <w:spacing w:line="360" w:lineRule="auto"/>
        <w:jc w:val="both"/>
      </w:pPr>
      <w:r>
        <w:rPr>
          <w:rFonts w:ascii="Times New Roman" w:hAnsi="Times New Roman"/>
          <w:sz w:val="24"/>
        </w:rPr>
        <w:t>15. FOLLOW-UP QUESTIONS &amp; NEXT STEPS</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Request detailed third-party test reports validating the 10-minute charging claim and &gt;1200 cycle life under extreme fast charging (XFC) conditions.</w:t>
      </w:r>
    </w:p>
    <w:p>
      <w:pPr>
        <w:spacing w:line="360" w:lineRule="auto"/>
        <w:jc w:val="both"/>
      </w:pPr>
      <w:r>
        <w:rPr>
          <w:rFonts w:ascii="Times New Roman" w:hAnsi="Times New Roman"/>
          <w:sz w:val="24"/>
        </w:rPr>
        <w:t>- Clarify the scope and geographic coverage of the 78 granted and 22 pending patents; assess potential IP risks or overlaps.</w:t>
      </w:r>
    </w:p>
    <w:p>
      <w:pPr>
        <w:spacing w:line="360" w:lineRule="auto"/>
        <w:jc w:val="both"/>
      </w:pPr>
      <w:r>
        <w:rPr>
          <w:rFonts w:ascii="Times New Roman" w:hAnsi="Times New Roman"/>
          <w:sz w:val="24"/>
        </w:rPr>
        <w:t>- Understand any dependencies on proprietary materials or rare elements that could impact scalability or cost.</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Obtain a list of the &gt;15 OEMs and manufacturing partners currently testing the 100in5 cells, including stage of engagement and feedback.</w:t>
      </w:r>
    </w:p>
    <w:p>
      <w:pPr>
        <w:spacing w:line="360" w:lineRule="auto"/>
        <w:jc w:val="both"/>
      </w:pPr>
      <w:r>
        <w:rPr>
          <w:rFonts w:ascii="Times New Roman" w:hAnsi="Times New Roman"/>
          <w:sz w:val="24"/>
        </w:rPr>
        <w:t>- Confirm commitments or LOIs from OEMs for commercial adoption starting 2025.</w:t>
      </w:r>
    </w:p>
    <w:p>
      <w:pPr>
        <w:spacing w:line="360" w:lineRule="auto"/>
        <w:jc w:val="both"/>
      </w:pPr>
      <w:r>
        <w:rPr>
          <w:rFonts w:ascii="Times New Roman" w:hAnsi="Times New Roman"/>
          <w:sz w:val="24"/>
        </w:rPr>
        <w:t>- Assess manufacturing scale-up plans, capacity, and timelines to meet projected demand.</w:t>
      </w:r>
    </w:p>
    <w:p>
      <w:pPr>
        <w:spacing w:line="360" w:lineRule="auto"/>
        <w:jc w:val="both"/>
      </w:pPr>
      <w:r>
        <w:rPr>
          <w:rFonts w:ascii="Times New Roman" w:hAnsi="Times New Roman"/>
          <w:sz w:val="24"/>
        </w:rPr>
        <w:t>- **Technology Scalability &amp; Cost**</w:t>
      </w:r>
    </w:p>
    <w:p>
      <w:pPr>
        <w:spacing w:line="360" w:lineRule="auto"/>
        <w:jc w:val="both"/>
      </w:pPr>
      <w:r>
        <w:rPr>
          <w:rFonts w:ascii="Times New Roman" w:hAnsi="Times New Roman"/>
          <w:sz w:val="24"/>
        </w:rPr>
        <w:t>- Request detailed cost modeling comparing StoreDot’s technology to incumbent Li-ion and emerging battery chemistries.</w:t>
      </w:r>
    </w:p>
    <w:p>
      <w:pPr>
        <w:spacing w:line="360" w:lineRule="auto"/>
        <w:jc w:val="both"/>
      </w:pPr>
      <w:r>
        <w:rPr>
          <w:rFonts w:ascii="Times New Roman" w:hAnsi="Times New Roman"/>
          <w:sz w:val="24"/>
        </w:rPr>
        <w:t>- Clarify assumptions behind "competitive cost structure aligned with industry trajectory" and expected cost per kWh at scale.</w:t>
      </w:r>
    </w:p>
    <w:p>
      <w:pPr>
        <w:spacing w:line="360" w:lineRule="auto"/>
        <w:jc w:val="both"/>
      </w:pPr>
      <w:r>
        <w:rPr>
          <w:rFonts w:ascii="Times New Roman" w:hAnsi="Times New Roman"/>
          <w:sz w:val="24"/>
        </w:rPr>
        <w:t>- Understand compatibility and integration challenges with existing Li-ion production lines in practice.</w:t>
      </w:r>
    </w:p>
    <w:p>
      <w:pPr>
        <w:spacing w:line="360" w:lineRule="auto"/>
        <w:jc w:val="both"/>
      </w:pPr>
      <w:r>
        <w:rPr>
          <w:rFonts w:ascii="Times New Roman" w:hAnsi="Times New Roman"/>
          <w:sz w:val="24"/>
        </w:rPr>
        <w:t>- **Product Roadmap &amp; Differentiation**</w:t>
      </w:r>
    </w:p>
    <w:p>
      <w:pPr>
        <w:spacing w:line="360" w:lineRule="auto"/>
        <w:jc w:val="both"/>
      </w:pPr>
      <w:r>
        <w:rPr>
          <w:rFonts w:ascii="Times New Roman" w:hAnsi="Times New Roman"/>
          <w:sz w:val="24"/>
        </w:rPr>
        <w:t>- Seek more details on the 2028 semi-solid and 2032 post-lithium battery plans, including technology readiness levels and R&amp;D milestones.</w:t>
      </w:r>
    </w:p>
    <w:p>
      <w:pPr>
        <w:spacing w:line="360" w:lineRule="auto"/>
        <w:jc w:val="both"/>
      </w:pPr>
      <w:r>
        <w:rPr>
          <w:rFonts w:ascii="Times New Roman" w:hAnsi="Times New Roman"/>
          <w:sz w:val="24"/>
        </w:rPr>
        <w:t>- Clarify how StoreDot’s silicon-dominant anode chemistry compares in energy density and safety to competitors’ solutions.</w:t>
      </w:r>
    </w:p>
    <w:p>
      <w:pPr>
        <w:spacing w:line="360" w:lineRule="auto"/>
        <w:jc w:val="both"/>
      </w:pPr>
      <w:r>
        <w:rPr>
          <w:rFonts w:ascii="Times New Roman" w:hAnsi="Times New Roman"/>
          <w:sz w:val="24"/>
        </w:rPr>
        <w:t>- Explore potential risks or delays in roadmap execution.</w:t>
      </w:r>
    </w:p>
    <w:p>
      <w:pPr>
        <w:spacing w:line="360" w:lineRule="auto"/>
        <w:jc w:val="both"/>
      </w:pPr>
      <w:r>
        <w:rPr>
          <w:rFonts w:ascii="Times New Roman" w:hAnsi="Times New Roman"/>
          <w:sz w:val="24"/>
        </w:rPr>
        <w:t>- **Market &amp; Competitive Landscape**</w:t>
      </w:r>
    </w:p>
    <w:p>
      <w:pPr>
        <w:spacing w:line="360" w:lineRule="auto"/>
        <w:jc w:val="both"/>
      </w:pPr>
      <w:r>
        <w:rPr>
          <w:rFonts w:ascii="Times New Roman" w:hAnsi="Times New Roman"/>
          <w:sz w:val="24"/>
        </w:rPr>
        <w:t>- Request competitive benchmarking against other fast-charging battery startups and incumbents, including technology, cost, and timeline.</w:t>
      </w:r>
    </w:p>
    <w:p>
      <w:pPr>
        <w:spacing w:line="360" w:lineRule="auto"/>
        <w:jc w:val="both"/>
      </w:pPr>
      <w:r>
        <w:rPr>
          <w:rFonts w:ascii="Times New Roman" w:hAnsi="Times New Roman"/>
          <w:sz w:val="24"/>
        </w:rPr>
        <w:t>- Understand StoreDot’s go-to-market strategy and how it plans to address charging infrastructure and standardization challenges.</w:t>
      </w:r>
    </w:p>
    <w:p>
      <w:pPr>
        <w:spacing w:line="360" w:lineRule="auto"/>
        <w:jc w:val="both"/>
      </w:pPr>
      <w:r>
        <w:rPr>
          <w:rFonts w:ascii="Times New Roman" w:hAnsi="Times New Roman"/>
          <w:sz w:val="24"/>
        </w:rPr>
        <w:t>- **Financials &amp; Funding**</w:t>
      </w:r>
    </w:p>
    <w:p>
      <w:pPr>
        <w:spacing w:line="360" w:lineRule="auto"/>
        <w:jc w:val="both"/>
      </w:pPr>
      <w:r>
        <w:rPr>
          <w:rFonts w:ascii="Times New Roman" w:hAnsi="Times New Roman"/>
          <w:sz w:val="24"/>
        </w:rPr>
        <w:t>- Obtain current financial statements, burn rate, and runway.</w:t>
      </w:r>
    </w:p>
    <w:p>
      <w:pPr>
        <w:spacing w:line="360" w:lineRule="auto"/>
        <w:jc w:val="both"/>
      </w:pPr>
      <w:r>
        <w:rPr>
          <w:rFonts w:ascii="Times New Roman" w:hAnsi="Times New Roman"/>
          <w:sz w:val="24"/>
        </w:rPr>
        <w:t>- Clarify funding requirements to reach commercial readiness in 2025 and subsequent scaling phases.</w:t>
      </w:r>
    </w:p>
    <w:p>
      <w:pPr>
        <w:spacing w:line="360" w:lineRule="auto"/>
        <w:jc w:val="both"/>
      </w:pPr>
      <w:r>
        <w:rPr>
          <w:rFonts w:ascii="Times New Roman" w:hAnsi="Times New Roman"/>
          <w:sz w:val="24"/>
        </w:rPr>
        <w:t>- Understand revenue model—licensing vs. direct sales—and projected margins.</w:t>
      </w:r>
    </w:p>
    <w:p>
      <w:pPr>
        <w:spacing w:line="360" w:lineRule="auto"/>
        <w:jc w:val="both"/>
      </w:pPr>
      <w:r>
        <w:rPr>
          <w:rFonts w:ascii="Times New Roman" w:hAnsi="Times New Roman"/>
          <w:sz w:val="24"/>
        </w:rPr>
        <w:t>- **Regulatory &amp; Sustainability**</w:t>
      </w:r>
    </w:p>
    <w:p>
      <w:pPr>
        <w:spacing w:line="360" w:lineRule="auto"/>
        <w:jc w:val="both"/>
      </w:pPr>
      <w:r>
        <w:rPr>
          <w:rFonts w:ascii="Times New Roman" w:hAnsi="Times New Roman"/>
          <w:sz w:val="24"/>
        </w:rPr>
        <w:t>- Confirm compliance with relevant automotive and battery safety standards globally.</w:t>
      </w:r>
    </w:p>
    <w:p>
      <w:pPr>
        <w:spacing w:line="360" w:lineRule="auto"/>
        <w:jc w:val="both"/>
      </w:pPr>
      <w:r>
        <w:rPr>
          <w:rFonts w:ascii="Times New Roman" w:hAnsi="Times New Roman"/>
          <w:sz w:val="24"/>
        </w:rPr>
        <w:t>- Request details on cobalt reduction and other sustainability initiatives in production.</w:t>
      </w:r>
    </w:p>
    <w:p>
      <w:pPr>
        <w:spacing w:line="360" w:lineRule="auto"/>
        <w:jc w:val="both"/>
      </w:pPr>
      <w:r>
        <w:rPr>
          <w:rFonts w:ascii="Times New Roman" w:hAnsi="Times New Roman"/>
          <w:sz w:val="24"/>
        </w:rPr>
        <w:t>- **Team &amp; Governance**</w:t>
      </w:r>
    </w:p>
    <w:p>
      <w:pPr>
        <w:spacing w:line="360" w:lineRule="auto"/>
        <w:jc w:val="both"/>
      </w:pPr>
      <w:r>
        <w:rPr>
          <w:rFonts w:ascii="Times New Roman" w:hAnsi="Times New Roman"/>
          <w:sz w:val="24"/>
        </w:rPr>
        <w:t>- Validate key team members’ commitments and any gaps in expertise for scaling manufacturing and commercialization.</w:t>
      </w:r>
    </w:p>
    <w:p>
      <w:pPr>
        <w:spacing w:line="360" w:lineRule="auto"/>
        <w:jc w:val="both"/>
      </w:pPr>
      <w:r>
        <w:rPr>
          <w:rFonts w:ascii="Times New Roman" w:hAnsi="Times New Roman"/>
          <w:sz w:val="24"/>
        </w:rPr>
        <w:t>- Review governance structure and investor syndicate.</w:t>
      </w:r>
    </w:p>
    <w:p>
      <w:pPr>
        <w:spacing w:line="360" w:lineRule="auto"/>
        <w:jc w:val="both"/>
      </w:pPr>
      <w:r>
        <w:rPr>
          <w:rFonts w:ascii="Times New Roman" w:hAnsi="Times New Roman"/>
          <w:sz w:val="24"/>
        </w:rPr>
        <w:t>**Next Steps:**</w:t>
      </w:r>
    </w:p>
    <w:p>
      <w:pPr>
        <w:spacing w:line="360" w:lineRule="auto"/>
        <w:jc w:val="both"/>
      </w:pPr>
      <w:r>
        <w:rPr>
          <w:rFonts w:ascii="Times New Roman" w:hAnsi="Times New Roman"/>
          <w:sz w:val="24"/>
        </w:rPr>
        <w:t>- Schedule technical deep-dive with CTO and R&amp;D leads.</w:t>
      </w:r>
    </w:p>
    <w:p>
      <w:pPr>
        <w:spacing w:line="360" w:lineRule="auto"/>
        <w:jc w:val="both"/>
      </w:pPr>
      <w:r>
        <w:rPr>
          <w:rFonts w:ascii="Times New Roman" w:hAnsi="Times New Roman"/>
          <w:sz w:val="24"/>
        </w:rPr>
        <w:t>- Conduct reference calls with OEM partners.</w:t>
      </w:r>
    </w:p>
    <w:p>
      <w:pPr>
        <w:spacing w:line="360" w:lineRule="auto"/>
        <w:jc w:val="both"/>
      </w:pPr>
      <w:r>
        <w:rPr>
          <w:rFonts w:ascii="Times New Roman" w:hAnsi="Times New Roman"/>
          <w:sz w:val="24"/>
        </w:rPr>
        <w:t>- Engage independent battery technology experts for due diligence.</w:t>
      </w:r>
    </w:p>
    <w:p>
      <w:pPr>
        <w:spacing w:line="360" w:lineRule="auto"/>
        <w:jc w:val="both"/>
      </w:pPr>
      <w:r>
        <w:rPr>
          <w:rFonts w:ascii="Times New Roman" w:hAnsi="Times New Roman"/>
          <w:sz w:val="24"/>
        </w:rPr>
        <w:t>- Review detailed financial model and funding plan.</w:t>
      </w:r>
    </w:p>
    <w:p>
      <w:pPr>
        <w:spacing w:line="360" w:lineRule="auto"/>
        <w:jc w:val="both"/>
      </w:pPr>
      <w:r>
        <w:rPr>
          <w:rFonts w:ascii="Times New Roman" w:hAnsi="Times New Roman"/>
          <w:sz w:val="24"/>
        </w:rPr>
        <w:t>- Assess IP portfolio with patent counsel.</w:t>
      </w:r>
    </w:p>
    <w:p>
      <w:pPr>
        <w:spacing w:line="360" w:lineRule="auto"/>
        <w:jc w:val="both"/>
      </w:pPr>
      <w:r>
        <w:rPr>
          <w:rFonts w:ascii="Times New Roman" w:hAnsi="Times New Roman"/>
          <w:sz w:val="24"/>
        </w:rPr>
        <w:t>If these areas are addressed satisfactorily, proceed to term sheet discussions.</w:t>
      </w:r>
    </w:p>
    <w:p>
      <w:pPr>
        <w:spacing w:after="240" w:line="360" w:lineRule="auto"/>
        <w:jc w:val="both"/>
      </w:pPr>
      <w:r>
        <w:rPr>
          <w:rFonts w:ascii="Times New Roman" w:hAnsi="Times New Roman"/>
          <w:b/>
          <w:sz w:val="24"/>
        </w:rPr>
        <w:t>16. FIGURES &amp; VISUALS</w:t>
      </w:r>
    </w:p>
    <w:p>
      <w:pPr>
        <w:spacing w:line="360" w:lineRule="auto"/>
        <w:jc w:val="both"/>
      </w:pPr>
      <w:r>
        <w:rPr>
          <w:rFonts w:ascii="Times New Roman" w:hAnsi="Times New Roman"/>
          <w:sz w:val="24"/>
        </w:rPr>
        <w:t>No figures extracted.</w:t>
      </w:r>
    </w:p>
    <w:p>
      <w:pPr>
        <w:spacing w:line="360" w:lineRule="auto"/>
        <w:jc w:val="both"/>
      </w:pPr>
      <w:r>
        <w:rPr>
          <w:rFonts w:ascii="Times New Roman" w:hAnsi="Times New Roman"/>
          <w:sz w:val="24"/>
        </w:rPr>
        <w:t>17. APPENDIX: ADDITIONAL TABLES</w:t>
      </w:r>
    </w:p>
    <w:p>
      <w:pPr>
        <w:spacing w:after="240" w:line="360" w:lineRule="auto"/>
        <w:jc w:val="both"/>
      </w:pPr>
      <w:r>
        <w:rPr>
          <w:rFonts w:ascii="Times New Roman" w:hAnsi="Times New Roman"/>
          <w:b/>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**Technological Innovation &amp; Moat:** StoreDot’s silicon-dominant anode lithium-ion technology enabling 100 miles of charge in 5-10 minutes is a significant breakthrough addressing a critical EV adoption barrier—charging speed. Compatibility with existing Li-ion manufacturing lines enhances scalability and reduces capital intensity.</w:t>
      </w:r>
    </w:p>
    <w:p>
      <w:pPr>
        <w:spacing w:line="360" w:lineRule="auto"/>
        <w:jc w:val="both"/>
      </w:pPr>
      <w:r>
        <w:rPr>
          <w:rFonts w:ascii="Times New Roman" w:hAnsi="Times New Roman"/>
          <w:sz w:val="24"/>
        </w:rPr>
        <w:t>- **Strong Industry Partnerships:** Engagement with 15+ OEMs and manufacturing partners indicates credible market interest and validation potential, critical for licensing-based business models.</w:t>
      </w:r>
    </w:p>
    <w:p>
      <w:pPr>
        <w:spacing w:line="360" w:lineRule="auto"/>
        <w:jc w:val="both"/>
      </w:pPr>
      <w:r>
        <w:rPr>
          <w:rFonts w:ascii="Times New Roman" w:hAnsi="Times New Roman"/>
          <w:sz w:val="24"/>
        </w:rPr>
        <w:t>- **Robust IP Portfolio:** 78 granted US patents and 22 pending patents provide a defensible technological moat, supporting licensing leverage and potential barriers to entry.</w:t>
      </w:r>
    </w:p>
    <w:p>
      <w:pPr>
        <w:spacing w:line="360" w:lineRule="auto"/>
        <w:jc w:val="both"/>
      </w:pPr>
      <w:r>
        <w:rPr>
          <w:rFonts w:ascii="Times New Roman" w:hAnsi="Times New Roman"/>
          <w:sz w:val="24"/>
        </w:rPr>
        <w:t>- **Clear Roadmap:** The company’s staged technology evolution—from XFC batteries (2025) to semi-solid (2028) and post-lithium chemistries (2032)—demonstrates forward-looking R&amp;D planning to maintain leadership.</w:t>
      </w:r>
    </w:p>
    <w:p>
      <w:pPr>
        <w:spacing w:line="360" w:lineRule="auto"/>
        <w:jc w:val="both"/>
      </w:pPr>
      <w:r>
        <w:rPr>
          <w:rFonts w:ascii="Times New Roman" w:hAnsi="Times New Roman"/>
          <w:sz w:val="24"/>
        </w:rPr>
        <w:t>- **ESG Alignment:** Reduced cobalt content and improved battery longevity align with sustainability trends and regulatory pressures, enhancing StoreDot’s appeal to ESG-conscious investors and OEMs.</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**Technical Maturity:** The technology is currently at beta stage, with no publicly available third-party validation of performance claims (charging speed, cycle life). This raises execution risk.</w:t>
      </w:r>
    </w:p>
    <w:p>
      <w:pPr>
        <w:spacing w:line="360" w:lineRule="auto"/>
        <w:jc w:val="both"/>
      </w:pPr>
      <w:r>
        <w:rPr>
          <w:rFonts w:ascii="Times New Roman" w:hAnsi="Times New Roman"/>
          <w:sz w:val="24"/>
        </w:rPr>
        <w:t>- **Opaque Financials:** Absence of financial data (valuation, burn rate, runway) severely limits assessment of financial health, capital needs, and investor returns.</w:t>
      </w:r>
    </w:p>
    <w:p>
      <w:pPr>
        <w:spacing w:line="360" w:lineRule="auto"/>
        <w:jc w:val="both"/>
      </w:pPr>
      <w:r>
        <w:rPr>
          <w:rFonts w:ascii="Times New Roman" w:hAnsi="Times New Roman"/>
          <w:sz w:val="24"/>
        </w:rPr>
        <w:t>- **Limited Team Information:** Only the founder is highlighted; lack of detail on broader management and operational team raises concerns about execution capability, especially for scaling manufacturing and commercialization.</w:t>
      </w:r>
    </w:p>
    <w:p>
      <w:pPr>
        <w:spacing w:line="360" w:lineRule="auto"/>
        <w:jc w:val="both"/>
      </w:pPr>
      <w:r>
        <w:rPr>
          <w:rFonts w:ascii="Times New Roman" w:hAnsi="Times New Roman"/>
          <w:sz w:val="24"/>
        </w:rPr>
        <w:t>- **Market Penetration Assumptions:** The stated SOM of $3B with 2.5% penetration appears optimistic without clear evidence of OEM commitments or customer contracts.</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**Mass EV Adoption Tailwinds:** Global EV market growth and regulatory mandates create a large and expanding TAM for advanced battery technologies.</w:t>
      </w:r>
    </w:p>
    <w:p>
      <w:pPr>
        <w:spacing w:line="360" w:lineRule="auto"/>
        <w:jc w:val="both"/>
      </w:pPr>
      <w:r>
        <w:rPr>
          <w:rFonts w:ascii="Times New Roman" w:hAnsi="Times New Roman"/>
          <w:sz w:val="24"/>
        </w:rPr>
        <w:t>- **Licensing Model Scalability:** By licensing rather than manufacturing, StoreDot can scale rapidly with lower capital expenditure and leverage OEMs’ existing production infrastructure.</w:t>
      </w:r>
    </w:p>
    <w:p>
      <w:pPr>
        <w:spacing w:line="360" w:lineRule="auto"/>
        <w:jc w:val="both"/>
      </w:pPr>
      <w:r>
        <w:rPr>
          <w:rFonts w:ascii="Times New Roman" w:hAnsi="Times New Roman"/>
          <w:sz w:val="24"/>
        </w:rPr>
        <w:t>- **Potential for Strategic Acquisitions or IPO:** Given the technology lead and OEM interest, StoreDot could attract acquisition interest from major automotive or battery players or pursue a public listing as a growth play.</w:t>
      </w:r>
    </w:p>
    <w:p>
      <w:pPr>
        <w:spacing w:line="360" w:lineRule="auto"/>
        <w:jc w:val="both"/>
      </w:pPr>
      <w:r>
        <w:rPr>
          <w:rFonts w:ascii="Times New Roman" w:hAnsi="Times New Roman"/>
          <w:sz w:val="24"/>
        </w:rPr>
        <w:t>- **Technology Leadership:** Early mover advantage in extreme fast charging could establish StoreDot as a standard-bearer, influencing industry charging infrastructure and standards.</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**Technology &amp; Commercialization Risk:** Beta status and lack of independent validation mean the technology may face unforeseen performance or durability issues at scale.</w:t>
      </w:r>
    </w:p>
    <w:p>
      <w:pPr>
        <w:spacing w:line="360" w:lineRule="auto"/>
        <w:jc w:val="both"/>
      </w:pPr>
      <w:r>
        <w:rPr>
          <w:rFonts w:ascii="Times New Roman" w:hAnsi="Times New Roman"/>
          <w:sz w:val="24"/>
        </w:rPr>
        <w:t>- **Competitive Pressure:** Competitors like QuantumScape and Sila Nanotechnologies are also advancing fast-charging and high-density batteries, potentially eroding StoreDot’s lead.</w:t>
      </w:r>
    </w:p>
    <w:p>
      <w:pPr>
        <w:spacing w:line="360" w:lineRule="auto"/>
        <w:jc w:val="both"/>
      </w:pPr>
      <w:r>
        <w:rPr>
          <w:rFonts w:ascii="Times New Roman" w:hAnsi="Times New Roman"/>
          <w:sz w:val="24"/>
        </w:rPr>
        <w:t>- **Regulatory &amp; Safety:** Battery technologies face stringent safety and regulatory hurdles globally; delays or failures in certification could postpone commercialization.</w:t>
      </w:r>
    </w:p>
    <w:p>
      <w:pPr>
        <w:spacing w:line="360" w:lineRule="auto"/>
        <w:jc w:val="both"/>
      </w:pPr>
      <w:r>
        <w:rPr>
          <w:rFonts w:ascii="Times New Roman" w:hAnsi="Times New Roman"/>
          <w:sz w:val="24"/>
        </w:rPr>
        <w:t>- **Market Timing &amp; Adoption:** OEMs’ willingness to adopt new battery chemistries depends on cost, reliability, and integration ease; misalignment could delay revenue generation.</w:t>
      </w:r>
    </w:p>
    <w:p>
      <w:pPr>
        <w:spacing w:line="360" w:lineRule="auto"/>
        <w:jc w:val="both"/>
      </w:pPr>
      <w:r>
        <w:rPr>
          <w:rFonts w:ascii="Times New Roman" w:hAnsi="Times New Roman"/>
          <w:sz w:val="24"/>
        </w:rPr>
        <w:t>- **Financial Transparency:** Lack of financial visibility impedes risk assessment and valuation, increasing investment uncertainty.</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**Demand Rigorous Technical Validation:** Insist on independent third-party test results confirming charging speed, cycle life, and safety under real-world conditions before committing capital.</w:t>
      </w:r>
    </w:p>
    <w:p>
      <w:pPr>
        <w:spacing w:line="360" w:lineRule="auto"/>
        <w:jc w:val="both"/>
      </w:pPr>
      <w:r>
        <w:rPr>
          <w:rFonts w:ascii="Times New Roman" w:hAnsi="Times New Roman"/>
          <w:sz w:val="24"/>
        </w:rPr>
        <w:t>2. **Clarify OEM Commitments:** Obtain detailed information on OEM partners, including signed LOIs or contracts, pilot results, and timelines to assess commercial traction.</w:t>
      </w:r>
    </w:p>
    <w:p>
      <w:pPr>
        <w:spacing w:line="360" w:lineRule="auto"/>
        <w:jc w:val="both"/>
      </w:pPr>
      <w:r>
        <w:rPr>
          <w:rFonts w:ascii="Times New Roman" w:hAnsi="Times New Roman"/>
          <w:sz w:val="24"/>
        </w:rPr>
        <w:t>3. **Financial Due Diligence:** Require full disclosure of financials—cash position, burn rate, funding needs—to evaluate runway and dilution risk.</w:t>
      </w:r>
    </w:p>
    <w:p>
      <w:pPr>
        <w:spacing w:line="360" w:lineRule="auto"/>
        <w:jc w:val="both"/>
      </w:pPr>
      <w:r>
        <w:rPr>
          <w:rFonts w:ascii="Times New Roman" w:hAnsi="Times New Roman"/>
          <w:sz w:val="24"/>
        </w:rPr>
        <w:t>4. **Assess IP Strength &amp; Freedom to Operate:** Engage patent counsel to review StoreDot’s IP portfolio and identify potential infringement or licensing risks.</w:t>
      </w:r>
    </w:p>
    <w:p>
      <w:pPr>
        <w:spacing w:line="360" w:lineRule="auto"/>
        <w:jc w:val="both"/>
      </w:pPr>
      <w:r>
        <w:rPr>
          <w:rFonts w:ascii="Times New Roman" w:hAnsi="Times New Roman"/>
          <w:sz w:val="24"/>
        </w:rPr>
        <w:t>5. **Evaluate Team Depth:** Verify the presence of experienced executives in manufacturing scale-up, supply chain, and commercialization to mitigate execution risk.</w:t>
      </w:r>
    </w:p>
    <w:p>
      <w:pPr>
        <w:spacing w:line="360" w:lineRule="auto"/>
        <w:jc w:val="both"/>
      </w:pPr>
      <w:r>
        <w:rPr>
          <w:rFonts w:ascii="Times New Roman" w:hAnsi="Times New Roman"/>
          <w:sz w:val="24"/>
        </w:rPr>
        <w:t>6. **Monitor Competitive Landscape:** Benchmark StoreDot’s technology and cost structure against peers to validate claimed advantages and market positioning.</w:t>
      </w:r>
    </w:p>
    <w:p>
      <w:pPr>
        <w:spacing w:line="360" w:lineRule="auto"/>
        <w:jc w:val="both"/>
      </w:pPr>
      <w:r>
        <w:rPr>
          <w:rFonts w:ascii="Times New Roman" w:hAnsi="Times New Roman"/>
          <w:sz w:val="24"/>
        </w:rPr>
        <w:t>7. **Plan for Follow-on Funding:** Given high capital intensity and scaling needs, prepare for potential future funding rounds or strategic partnerships.</w:t>
      </w:r>
    </w:p>
    <w:p>
      <w:pPr>
        <w:spacing w:line="360" w:lineRule="auto"/>
        <w:jc w:val="both"/>
      </w:pPr>
      <w:r>
        <w:rPr>
          <w:rFonts w:ascii="Times New Roman" w:hAnsi="Times New Roman"/>
          <w:sz w:val="24"/>
        </w:rPr>
        <w:t>### Conclusion</w:t>
      </w:r>
    </w:p>
    <w:p>
      <w:pPr>
        <w:spacing w:line="360" w:lineRule="auto"/>
        <w:jc w:val="both"/>
      </w:pPr>
      <w:r>
        <w:rPr>
          <w:rFonts w:ascii="Times New Roman" w:hAnsi="Times New Roman"/>
          <w:sz w:val="24"/>
        </w:rPr>
        <w:t>StoreDot presents a compelling technological proposition with strong potential to disrupt EV battery charging paradigms and accelerate mass EV adoption. However, the investment carries high execution and financial transparency risks at this stage. Investors should adopt a cautious, milestone-driven approach, prioritizing technical validation, OEM commitment confirmation, and financial clarity before advancing to term sheet negotiations. If these conditions are met, StoreDot could represent a high-reward opportunity in the evolving EV battery ecosystem.</w:t>
      </w:r>
    </w:p>
    <w:p>
      <w:pPr>
        <w:spacing w:line="360" w:lineRule="auto"/>
        <w:jc w:val="both"/>
      </w:pPr>
      <w:r>
        <w:rPr>
          <w:rFonts w:ascii="Times New Roman" w:hAnsi="Times New Roman"/>
          <w:sz w:val="24"/>
        </w:rPr>
        <w:t>Generated by VC Analysis System on July 13,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14:paraId="13E79270" w14:textId="77777777" w:rsidR="00F87D6F" w:rsidRPr="00F87D6F" w:rsidRDefault="00F87D6F" w:rsidP="00F87D6F">
      <w:pPr>
        <w:spacing w:after="160" w:line="259" w:lineRule="auto"/>
        <w:rPr>
          <w:lang w:val="en-US"/>
        </w:rPr>
      </w:pPr>
    </w:p>
    <w:p w14:paraId="614BC716" w14:textId="77777777" w:rsidR="001A3A2E" w:rsidRDefault="001A3A2E" w:rsidP="001A3A2E">
      <w:pPr>
        <w:spacing w:after="160" w:line="259" w:lineRule="auto"/>
        <w:jc w:val="center"/>
        <w:rPr>
          <w:lang w:val="en-US"/>
        </w:rPr>
      </w:pPr>
    </w:p>
    <w:p w14:paraId="0EB7E562" w14:textId="77777777" w:rsidR="00830FE5" w:rsidRDefault="00830FE5" w:rsidP="001A3A2E">
      <w:pPr>
        <w:spacing w:after="160" w:line="259" w:lineRule="auto"/>
        <w:jc w:val="center"/>
        <w:rPr>
          <w:lang w:val="en-US"/>
        </w:rPr>
      </w:pPr>
    </w:p>
    <w:p w14:paraId="31709D37" w14:textId="77777777" w:rsidR="00830FE5" w:rsidRDefault="00830FE5" w:rsidP="001A3A2E">
      <w:pPr>
        <w:spacing w:after="160" w:line="259" w:lineRule="auto"/>
        <w:jc w:val="center"/>
        <w:rPr>
          <w:lang w:val="en-US"/>
        </w:rPr>
      </w:pPr>
    </w:p>
    <w:p w14:paraId="2ACAB304" w14:textId="77777777" w:rsidR="00830FE5" w:rsidRDefault="00830FE5" w:rsidP="001A3A2E">
      <w:pPr>
        <w:spacing w:after="160" w:line="259" w:lineRule="auto"/>
        <w:jc w:val="center"/>
        <w:rPr>
          <w:lang w:val="en-US"/>
        </w:rPr>
      </w:pPr>
    </w:p>
    <w:p w14:paraId="37860182" w14:textId="77777777" w:rsidR="00830FE5" w:rsidRDefault="00830FE5" w:rsidP="001A3A2E">
      <w:pPr>
        <w:spacing w:after="160" w:line="259" w:lineRule="auto"/>
        <w:jc w:val="center"/>
        <w:rPr>
          <w:lang w:val="en-US"/>
        </w:rPr>
      </w:pPr>
    </w:p>
    <w:p w14:paraId="08B643F9" w14:textId="77777777" w:rsidR="00830FE5" w:rsidRDefault="00830FE5" w:rsidP="001A3A2E">
      <w:pPr>
        <w:spacing w:after="160" w:line="259" w:lineRule="auto"/>
        <w:jc w:val="center"/>
        <w:rPr>
          <w:lang w:val="en-US"/>
        </w:rPr>
      </w:pPr>
    </w:p>
    <w:p w14:paraId="4B066404" w14:textId="77777777" w:rsidR="00830FE5" w:rsidRDefault="00830FE5" w:rsidP="001A3A2E">
      <w:pPr>
        <w:spacing w:after="160" w:line="259" w:lineRule="auto"/>
        <w:jc w:val="center"/>
        <w:rPr>
          <w:lang w:val="en-US"/>
        </w:rPr>
      </w:pPr>
    </w:p>
    <w:p w14:paraId="293321F0" w14:textId="77777777" w:rsidR="00830FE5" w:rsidRDefault="00830FE5" w:rsidP="001A3A2E">
      <w:pPr>
        <w:spacing w:after="160" w:line="259" w:lineRule="auto"/>
        <w:jc w:val="center"/>
        <w:rPr>
          <w:lang w:val="en-US"/>
        </w:rPr>
      </w:pPr>
    </w:p>
    <w:p w14:paraId="704C4B7E" w14:textId="77777777" w:rsidR="00830FE5" w:rsidRDefault="00830FE5" w:rsidP="001A3A2E">
      <w:pPr>
        <w:spacing w:after="160" w:line="259" w:lineRule="auto"/>
        <w:jc w:val="center"/>
        <w:rPr>
          <w:lang w:val="en-US"/>
        </w:rPr>
      </w:pPr>
    </w:p>
    <w:p w14:paraId="21905551" w14:textId="77777777" w:rsidR="00830FE5" w:rsidRDefault="00830FE5" w:rsidP="001A3A2E">
      <w:pPr>
        <w:spacing w:after="160" w:line="259" w:lineRule="auto"/>
        <w:jc w:val="center"/>
        <w:rPr>
          <w:lang w:val="en-US"/>
        </w:rPr>
      </w:pPr>
    </w:p>
    <w:p w14:paraId="78FE3437" w14:textId="77777777" w:rsidR="00830FE5" w:rsidRDefault="00830FE5" w:rsidP="001A3A2E">
      <w:pPr>
        <w:spacing w:after="160" w:line="259" w:lineRule="auto"/>
        <w:jc w:val="center"/>
        <w:rPr>
          <w:lang w:val="en-US"/>
        </w:rPr>
      </w:pPr>
    </w:p>
    <w:p w14:paraId="0D8D7E32" w14:textId="77777777" w:rsidR="00830FE5" w:rsidRDefault="00830FE5" w:rsidP="001A3A2E">
      <w:pPr>
        <w:spacing w:after="160" w:line="259" w:lineRule="auto"/>
        <w:jc w:val="center"/>
        <w:rPr>
          <w:lang w:val="en-US"/>
        </w:rPr>
      </w:pPr>
    </w:p>
    <w:p w14:paraId="0B7210AE" w14:textId="77777777" w:rsidR="00830FE5" w:rsidRDefault="00830FE5" w:rsidP="001A3A2E">
      <w:pPr>
        <w:spacing w:after="160" w:line="259" w:lineRule="auto"/>
        <w:jc w:val="center"/>
        <w:rPr>
          <w:lang w:val="en-US"/>
        </w:rPr>
      </w:pPr>
    </w:p>
    <w:p w14:paraId="5F3E52D7" w14:textId="27267B34" w:rsidR="00C802F8" w:rsidRDefault="00C802F8" w:rsidP="00C802F8">
      <w:pPr>
        <w:tabs>
          <w:tab w:val="left" w:pos="3060"/>
        </w:tabs>
        <w:rPr>
          <w:lang w:val="en-US"/>
        </w:rPr>
      </w:pPr>
    </w:p>
    <w:p w14:paraId="5C7D0E45" w14:textId="77777777" w:rsidR="00C802F8" w:rsidRPr="00C802F8" w:rsidRDefault="00C802F8" w:rsidP="00C802F8">
      <w:pPr>
        <w:tabs>
          <w:tab w:val="left" w:pos="3060"/>
        </w:tabs>
        <w:rPr>
          <w:lang w:val="en-US"/>
        </w:rPr>
      </w:pPr>
    </w:p>
    <w:sectPr w:rsidR="00C802F8"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9619C" w14:textId="77777777" w:rsidR="00F71F85" w:rsidRDefault="00F71F85">
      <w:r>
        <w:separator/>
      </w:r>
    </w:p>
  </w:endnote>
  <w:endnote w:type="continuationSeparator" w:id="0">
    <w:p w14:paraId="5C5E2CE5" w14:textId="77777777" w:rsidR="00F71F85" w:rsidRDefault="00F71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51AC" w14:textId="77777777" w:rsidR="00F71F85" w:rsidRDefault="00F71F85">
      <w:r>
        <w:separator/>
      </w:r>
    </w:p>
  </w:footnote>
  <w:footnote w:type="continuationSeparator" w:id="0">
    <w:p w14:paraId="120A1F27" w14:textId="77777777" w:rsidR="00F71F85" w:rsidRDefault="00F71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F1795"/>
    <w:rsid w:val="00100DC3"/>
    <w:rsid w:val="0010114C"/>
    <w:rsid w:val="0010647D"/>
    <w:rsid w:val="00141365"/>
    <w:rsid w:val="00162558"/>
    <w:rsid w:val="0016357A"/>
    <w:rsid w:val="001A3A2E"/>
    <w:rsid w:val="001B1E7A"/>
    <w:rsid w:val="001D6CB3"/>
    <w:rsid w:val="001E0BED"/>
    <w:rsid w:val="001E0C9C"/>
    <w:rsid w:val="001E39C3"/>
    <w:rsid w:val="00232F13"/>
    <w:rsid w:val="00234EF1"/>
    <w:rsid w:val="00250652"/>
    <w:rsid w:val="00265E77"/>
    <w:rsid w:val="00273721"/>
    <w:rsid w:val="002770C3"/>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96C35"/>
    <w:rsid w:val="003B13D1"/>
    <w:rsid w:val="003B53C2"/>
    <w:rsid w:val="003C7B21"/>
    <w:rsid w:val="003E3956"/>
    <w:rsid w:val="00413D1E"/>
    <w:rsid w:val="00436826"/>
    <w:rsid w:val="00440DA2"/>
    <w:rsid w:val="00447CC9"/>
    <w:rsid w:val="00451967"/>
    <w:rsid w:val="00464004"/>
    <w:rsid w:val="004757D9"/>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D6C76"/>
    <w:rsid w:val="005E4972"/>
    <w:rsid w:val="0060001D"/>
    <w:rsid w:val="006243AE"/>
    <w:rsid w:val="00632C10"/>
    <w:rsid w:val="00634BDE"/>
    <w:rsid w:val="00636596"/>
    <w:rsid w:val="0066245E"/>
    <w:rsid w:val="00674DE7"/>
    <w:rsid w:val="00686276"/>
    <w:rsid w:val="0069107B"/>
    <w:rsid w:val="00702FCC"/>
    <w:rsid w:val="00703322"/>
    <w:rsid w:val="0074038C"/>
    <w:rsid w:val="0074064F"/>
    <w:rsid w:val="0076074B"/>
    <w:rsid w:val="00774B00"/>
    <w:rsid w:val="0078102A"/>
    <w:rsid w:val="00783404"/>
    <w:rsid w:val="007F686E"/>
    <w:rsid w:val="008017F9"/>
    <w:rsid w:val="00801A6D"/>
    <w:rsid w:val="008155A3"/>
    <w:rsid w:val="00822182"/>
    <w:rsid w:val="0082219D"/>
    <w:rsid w:val="00830FE5"/>
    <w:rsid w:val="00845957"/>
    <w:rsid w:val="0085320E"/>
    <w:rsid w:val="00856191"/>
    <w:rsid w:val="00862895"/>
    <w:rsid w:val="00876060"/>
    <w:rsid w:val="008839E2"/>
    <w:rsid w:val="008A2E35"/>
    <w:rsid w:val="008A47F1"/>
    <w:rsid w:val="008D5E24"/>
    <w:rsid w:val="008D73E1"/>
    <w:rsid w:val="008F671B"/>
    <w:rsid w:val="00945232"/>
    <w:rsid w:val="009541BA"/>
    <w:rsid w:val="00982DE1"/>
    <w:rsid w:val="00990D45"/>
    <w:rsid w:val="0099453E"/>
    <w:rsid w:val="0099589D"/>
    <w:rsid w:val="009A3A09"/>
    <w:rsid w:val="009B2F00"/>
    <w:rsid w:val="009D5183"/>
    <w:rsid w:val="009F3BE2"/>
    <w:rsid w:val="00A23FF9"/>
    <w:rsid w:val="00A338C6"/>
    <w:rsid w:val="00A40514"/>
    <w:rsid w:val="00A47E41"/>
    <w:rsid w:val="00A60FB3"/>
    <w:rsid w:val="00A62D23"/>
    <w:rsid w:val="00A707A4"/>
    <w:rsid w:val="00A87409"/>
    <w:rsid w:val="00A9363E"/>
    <w:rsid w:val="00AA006C"/>
    <w:rsid w:val="00AA0EC2"/>
    <w:rsid w:val="00AB0AF8"/>
    <w:rsid w:val="00AB75E9"/>
    <w:rsid w:val="00AC1B34"/>
    <w:rsid w:val="00B0316B"/>
    <w:rsid w:val="00B15B62"/>
    <w:rsid w:val="00B25D09"/>
    <w:rsid w:val="00B46AF0"/>
    <w:rsid w:val="00B477DB"/>
    <w:rsid w:val="00B772E1"/>
    <w:rsid w:val="00B8450B"/>
    <w:rsid w:val="00C03617"/>
    <w:rsid w:val="00C12690"/>
    <w:rsid w:val="00C453AD"/>
    <w:rsid w:val="00C5032E"/>
    <w:rsid w:val="00C54893"/>
    <w:rsid w:val="00C802F8"/>
    <w:rsid w:val="00C86B66"/>
    <w:rsid w:val="00CB7D42"/>
    <w:rsid w:val="00CC3D37"/>
    <w:rsid w:val="00CC5672"/>
    <w:rsid w:val="00CD3684"/>
    <w:rsid w:val="00CE797F"/>
    <w:rsid w:val="00D23B43"/>
    <w:rsid w:val="00D24564"/>
    <w:rsid w:val="00D26639"/>
    <w:rsid w:val="00D41530"/>
    <w:rsid w:val="00D423BB"/>
    <w:rsid w:val="00D608EF"/>
    <w:rsid w:val="00D958FD"/>
    <w:rsid w:val="00DB3B09"/>
    <w:rsid w:val="00DB5DB9"/>
    <w:rsid w:val="00DC3BC2"/>
    <w:rsid w:val="00DD5753"/>
    <w:rsid w:val="00E03B14"/>
    <w:rsid w:val="00E1228B"/>
    <w:rsid w:val="00E13F5E"/>
    <w:rsid w:val="00E43305"/>
    <w:rsid w:val="00E47931"/>
    <w:rsid w:val="00E6500E"/>
    <w:rsid w:val="00E81B94"/>
    <w:rsid w:val="00E832E8"/>
    <w:rsid w:val="00E8429D"/>
    <w:rsid w:val="00EB4BA7"/>
    <w:rsid w:val="00F15DA4"/>
    <w:rsid w:val="00F25176"/>
    <w:rsid w:val="00F5288C"/>
    <w:rsid w:val="00F71F85"/>
    <w:rsid w:val="00F87D6F"/>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Words>
  <Characters>61</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70</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10</cp:revision>
  <cp:lastPrinted>2012-08-22T12:07:00Z</cp:lastPrinted>
  <dcterms:created xsi:type="dcterms:W3CDTF">2025-07-11T11:27:00Z</dcterms:created>
  <dcterms:modified xsi:type="dcterms:W3CDTF">2025-07-13T10:08:00Z</dcterms:modified>
</cp:coreProperties>
</file>