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995B27C" w14:textId="77777777" w:rsidR="00703322" w:rsidRDefault="001A3A2E" w:rsidP="00703322">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1DF7B2BD" w14:textId="77777777" w:rsidR="00703322" w:rsidRDefault="00703322" w:rsidP="00703322">
      <w:pPr>
        <w:spacing w:after="160" w:line="259" w:lineRule="auto"/>
        <w:rPr>
          <w:rFonts w:ascii="Menlo" w:hAnsi="Menlo" w:cs="Menlo"/>
          <w:color w:val="D8DEE9"/>
          <w:sz w:val="18"/>
          <w:szCs w:val="18"/>
        </w:rPr>
      </w:pPr>
    </w:p>
    <w:p w14:paraId="24F1EBB9" w14:textId="77777777" w:rsidR="00703322" w:rsidRDefault="00703322" w:rsidP="00703322">
      <w:pPr>
        <w:spacing w:after="160" w:line="259" w:lineRule="auto"/>
        <w:rPr>
          <w:rFonts w:ascii="Menlo" w:hAnsi="Menlo" w:cs="Menlo"/>
          <w:color w:val="D8DEE9"/>
          <w:sz w:val="18"/>
          <w:szCs w:val="18"/>
        </w:rPr>
      </w:pPr>
    </w:p>
    <w:p w14:paraId="17A5DC13" w14:textId="4F8463B5" w:rsidR="00702FCC" w:rsidRPr="00703322" w:rsidRDefault="00702FCC" w:rsidP="00686276">
      <w:pPr>
        <w:spacing w:after="160" w:line="259" w:lineRule="auto"/>
        <w:jc w:val="center"/>
        <w:rPr>
          <w:lang w:val="en-US"/>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04:22 PM</w:t>
      </w:r>
    </w:p>
    <w:p w14:paraId="014DC5EA" w14:textId="77777777" w:rsidR="00702FCC" w:rsidRDefault="00702FCC" w:rsidP="001A3A2E">
      <w:pPr>
        <w:spacing w:after="160" w:line="259" w:lineRule="auto"/>
        <w:jc w:val="center"/>
        <w:rPr>
          <w:rFonts w:ascii="Menlo" w:hAnsi="Menlo" w:cs="Menlo"/>
          <w:color w:val="D8DEE9"/>
          <w:sz w:val="18"/>
          <w:szCs w:val="18"/>
        </w:rPr>
      </w:pPr>
    </w:p>
    <w:p w14:paraId="7F965642" w14:textId="77777777" w:rsidR="00702FCC" w:rsidRDefault="00702FCC" w:rsidP="001A3A2E">
      <w:pPr>
        <w:spacing w:after="160" w:line="259" w:lineRule="auto"/>
        <w:jc w:val="center"/>
        <w:rPr>
          <w:rFonts w:ascii="Menlo" w:hAnsi="Menlo" w:cs="Menlo"/>
          <w:color w:val="D8DEE9"/>
          <w:sz w:val="18"/>
          <w:szCs w:val="18"/>
        </w:rPr>
      </w:pPr>
    </w:p>
    <w:p w14:paraId="2B894E95" w14:textId="77777777" w:rsidR="00702FCC" w:rsidRDefault="00702FCC" w:rsidP="001A3A2E">
      <w:pPr>
        <w:spacing w:after="160" w:line="259" w:lineRule="auto"/>
        <w:jc w:val="center"/>
        <w:rPr>
          <w:rFonts w:ascii="Menlo" w:hAnsi="Menlo" w:cs="Menlo"/>
          <w:color w:val="D8DEE9"/>
          <w:sz w:val="18"/>
          <w:szCs w:val="18"/>
        </w:rPr>
      </w:pPr>
    </w:p>
    <w:p w14:paraId="6E22BD3D" w14:textId="77777777" w:rsidR="00702FCC" w:rsidRDefault="00702FCC" w:rsidP="001A3A2E">
      <w:pPr>
        <w:spacing w:after="160" w:line="259" w:lineRule="auto"/>
        <w:jc w:val="center"/>
        <w:rPr>
          <w:rFonts w:ascii="Menlo" w:hAnsi="Menlo" w:cs="Menlo"/>
          <w:color w:val="D8DEE9"/>
          <w:sz w:val="18"/>
          <w:szCs w:val="18"/>
        </w:rPr>
      </w:pPr>
    </w:p>
    <w:p w14:paraId="5B842F05" w14:textId="77777777" w:rsidR="00702FCC" w:rsidRDefault="00702FCC" w:rsidP="001A3A2E">
      <w:pPr>
        <w:spacing w:after="160" w:line="259" w:lineRule="auto"/>
        <w:jc w:val="center"/>
        <w:rPr>
          <w:rFonts w:ascii="Menlo" w:hAnsi="Menlo" w:cs="Menlo"/>
          <w:color w:val="D8DEE9"/>
          <w:sz w:val="18"/>
          <w:szCs w:val="18"/>
        </w:rPr>
      </w:pPr>
    </w:p>
    <w:p w14:paraId="76AD162C" w14:textId="77777777" w:rsidR="00702FCC" w:rsidRDefault="00702FCC" w:rsidP="001A3A2E">
      <w:pPr>
        <w:spacing w:after="160" w:line="259" w:lineRule="auto"/>
        <w:jc w:val="center"/>
        <w:rPr>
          <w:rFonts w:ascii="Menlo" w:hAnsi="Menlo" w:cs="Menlo"/>
          <w:color w:val="D8DEE9"/>
          <w:sz w:val="18"/>
          <w:szCs w:val="18"/>
        </w:rPr>
      </w:pPr>
    </w:p>
    <w:p w14:paraId="3C39B1ED" w14:textId="77777777" w:rsidR="00702FCC" w:rsidRDefault="00702FCC" w:rsidP="001A3A2E">
      <w:pPr>
        <w:spacing w:after="160" w:line="259" w:lineRule="auto"/>
        <w:jc w:val="center"/>
        <w:rPr>
          <w:rFonts w:ascii="Menlo" w:hAnsi="Menlo" w:cs="Menlo"/>
          <w:color w:val="D8DEE9"/>
          <w:sz w:val="18"/>
          <w:szCs w:val="18"/>
        </w:rPr>
      </w:pPr>
    </w:p>
    <w:p w14:paraId="2B1E280D" w14:textId="77777777" w:rsidR="00702FCC" w:rsidRDefault="00702FCC" w:rsidP="001A3A2E">
      <w:pPr>
        <w:spacing w:after="160" w:line="259" w:lineRule="auto"/>
        <w:jc w:val="center"/>
        <w:rPr>
          <w:rFonts w:ascii="Menlo" w:hAnsi="Menlo" w:cs="Menlo"/>
          <w:color w:val="D8DEE9"/>
          <w:sz w:val="18"/>
          <w:szCs w:val="18"/>
        </w:rPr>
      </w:pPr>
    </w:p>
    <w:p w14:paraId="161CFFB7" w14:textId="77777777" w:rsidR="00702FCC" w:rsidRDefault="00702FCC" w:rsidP="001A3A2E">
      <w:pPr>
        <w:spacing w:after="160" w:line="259" w:lineRule="auto"/>
        <w:jc w:val="center"/>
        <w:rPr>
          <w:rFonts w:ascii="Menlo" w:hAnsi="Menlo" w:cs="Menlo"/>
          <w:color w:val="D8DEE9"/>
          <w:sz w:val="18"/>
          <w:szCs w:val="18"/>
        </w:rPr>
      </w:pPr>
    </w:p>
    <w:p w14:paraId="7399C058" w14:textId="77777777" w:rsidR="00702FCC" w:rsidRDefault="00702FCC" w:rsidP="001A3A2E">
      <w:pPr>
        <w:spacing w:after="160" w:line="259" w:lineRule="auto"/>
        <w:jc w:val="center"/>
        <w:rPr>
          <w:rFonts w:ascii="Menlo" w:hAnsi="Menlo" w:cs="Menlo"/>
          <w:color w:val="D8DEE9"/>
          <w:sz w:val="18"/>
          <w:szCs w:val="18"/>
        </w:rPr>
      </w:pPr>
    </w:p>
    <w:p w14:paraId="5D7F161C" w14:textId="77777777" w:rsidR="00702FCC" w:rsidRDefault="00702FCC" w:rsidP="001A3A2E">
      <w:pPr>
        <w:spacing w:after="160" w:line="259" w:lineRule="auto"/>
        <w:jc w:val="center"/>
        <w:rPr>
          <w:rFonts w:ascii="Menlo" w:hAnsi="Menlo" w:cs="Menlo"/>
          <w:color w:val="D8DEE9"/>
          <w:sz w:val="18"/>
          <w:szCs w:val="18"/>
        </w:rPr>
      </w:pPr>
    </w:p>
    <w:p w14:paraId="1EFE5BE7" w14:textId="77777777" w:rsidR="00702FCC" w:rsidRDefault="00702FCC" w:rsidP="001A3A2E">
      <w:pPr>
        <w:spacing w:after="160" w:line="259" w:lineRule="auto"/>
        <w:jc w:val="center"/>
        <w:rPr>
          <w:rFonts w:ascii="Menlo" w:hAnsi="Menlo" w:cs="Menlo"/>
          <w:color w:val="D8DEE9"/>
          <w:sz w:val="18"/>
          <w:szCs w:val="18"/>
        </w:rPr>
      </w:pPr>
    </w:p>
    <w:p w14:paraId="050316B2" w14:textId="77777777" w:rsidR="00702FCC" w:rsidRDefault="00702FCC" w:rsidP="001A3A2E">
      <w:pPr>
        <w:spacing w:after="160" w:line="259" w:lineRule="auto"/>
        <w:jc w:val="center"/>
        <w:rPr>
          <w:rFonts w:ascii="Menlo" w:hAnsi="Menlo" w:cs="Menlo"/>
          <w:color w:val="D8DEE9"/>
          <w:sz w:val="18"/>
          <w:szCs w:val="18"/>
        </w:rPr>
      </w:pPr>
    </w:p>
    <w:p w14:paraId="70D761EC" w14:textId="77777777" w:rsidR="00702FCC" w:rsidRDefault="00702FCC" w:rsidP="001A3A2E">
      <w:pPr>
        <w:spacing w:after="160" w:line="259" w:lineRule="auto"/>
        <w:jc w:val="center"/>
        <w:rPr>
          <w:rFonts w:ascii="Menlo" w:hAnsi="Menlo" w:cs="Menlo"/>
          <w:color w:val="D8DEE9"/>
          <w:sz w:val="18"/>
          <w:szCs w:val="18"/>
        </w:rPr>
      </w:pPr>
    </w:p>
    <w:p w14:paraId="0E6225F1" w14:textId="246BB6DF" w:rsidR="00702FCC" w:rsidRDefault="00702FCC" w:rsidP="00702FCC">
      <w:pPr>
        <w:spacing w:after="160" w:line="259" w:lineRule="auto"/>
        <w:jc w:val="both"/>
        <w:rPr>
          <w:lang w:val="en-US"/>
        </w:rPr>
      </w:pPr>
    </w:p>
    <w:p w14:paraId="13E79270" w14:textId="77777777" w:rsidR="00F87D6F" w:rsidRPr="00F87D6F" w:rsidRDefault="00F87D6F" w:rsidP="00F87D6F">
      <w:pPr>
        <w:spacing w:after="160" w:line="259" w:lineRule="auto"/>
        <w:rPr>
          <w:lang w:val="en-US"/>
        </w:rPr>
      </w:pPr>
    </w:p>
    <w:p w14:paraId="614BC716" w14:textId="77777777" w:rsidR="001A3A2E" w:rsidRDefault="001A3A2E" w:rsidP="001A3A2E">
      <w:pPr>
        <w:spacing w:after="160" w:line="259" w:lineRule="auto"/>
        <w:jc w:val="center"/>
        <w:rPr>
          <w:lang w:val="en-US"/>
        </w:rPr>
      </w:pPr>
    </w:p>
    <w:p w14:paraId="0EB7E562" w14:textId="77777777" w:rsidR="00830FE5" w:rsidRDefault="00830FE5" w:rsidP="001A3A2E">
      <w:pPr>
        <w:spacing w:after="160" w:line="259" w:lineRule="auto"/>
        <w:jc w:val="center"/>
        <w:rPr>
          <w:lang w:val="en-US"/>
        </w:rPr>
      </w:pPr>
    </w:p>
    <w:p w14:paraId="31709D37" w14:textId="77777777" w:rsidR="00830FE5" w:rsidRDefault="00830FE5" w:rsidP="001A3A2E">
      <w:pPr>
        <w:spacing w:after="160" w:line="259" w:lineRule="auto"/>
        <w:jc w:val="center"/>
        <w:rPr>
          <w:lang w:val="en-US"/>
        </w:rPr>
      </w:pPr>
    </w:p>
    <w:p w14:paraId="2ACAB304" w14:textId="77777777" w:rsidR="00830FE5" w:rsidRDefault="00830FE5" w:rsidP="001A3A2E">
      <w:pPr>
        <w:spacing w:after="160" w:line="259" w:lineRule="auto"/>
        <w:jc w:val="center"/>
        <w:rPr>
          <w:lang w:val="en-US"/>
        </w:rPr>
      </w:pPr>
    </w:p>
    <w:p w14:paraId="37860182" w14:textId="77777777" w:rsidR="00830FE5" w:rsidRDefault="00830FE5" w:rsidP="001A3A2E">
      <w:pPr>
        <w:spacing w:after="160" w:line="259" w:lineRule="auto"/>
        <w:jc w:val="center"/>
        <w:rPr>
          <w:lang w:val="en-US"/>
        </w:rPr>
      </w:pPr>
    </w:p>
    <w:p w14:paraId="08B643F9" w14:textId="77777777" w:rsidR="00830FE5" w:rsidRDefault="00830FE5" w:rsidP="001A3A2E">
      <w:pPr>
        <w:spacing w:after="160" w:line="259" w:lineRule="auto"/>
        <w:jc w:val="center"/>
        <w:rPr>
          <w:lang w:val="en-US"/>
        </w:rPr>
      </w:pPr>
    </w:p>
    <w:p w14:paraId="4B066404" w14:textId="77777777" w:rsidR="00830FE5" w:rsidRDefault="00830FE5" w:rsidP="001A3A2E">
      <w:pPr>
        <w:spacing w:after="160" w:line="259" w:lineRule="auto"/>
        <w:jc w:val="center"/>
        <w:rPr>
          <w:lang w:val="en-US"/>
        </w:rPr>
      </w:pPr>
    </w:p>
    <w:p w14:paraId="293321F0" w14:textId="77777777" w:rsidR="00830FE5" w:rsidRDefault="00830FE5" w:rsidP="001A3A2E">
      <w:pPr>
        <w:spacing w:after="160" w:line="259" w:lineRule="auto"/>
        <w:jc w:val="center"/>
        <w:rPr>
          <w:lang w:val="en-US"/>
        </w:rPr>
      </w:pPr>
    </w:p>
    <w:p w14:paraId="704C4B7E" w14:textId="77777777" w:rsidR="00830FE5" w:rsidRDefault="00830FE5" w:rsidP="001A3A2E">
      <w:pPr>
        <w:spacing w:after="160" w:line="259" w:lineRule="auto"/>
        <w:jc w:val="center"/>
        <w:rPr>
          <w:lang w:val="en-US"/>
        </w:rPr>
      </w:pPr>
    </w:p>
    <w:p w14:paraId="21905551" w14:textId="77777777" w:rsidR="00830FE5" w:rsidRDefault="00830FE5" w:rsidP="001A3A2E">
      <w:pPr>
        <w:spacing w:after="160" w:line="259" w:lineRule="auto"/>
        <w:jc w:val="center"/>
        <w:rPr>
          <w:lang w:val="en-US"/>
        </w:rPr>
      </w:pPr>
    </w:p>
    <w:p w14:paraId="78FE3437" w14:textId="77777777" w:rsidR="00830FE5" w:rsidRDefault="00830FE5" w:rsidP="001A3A2E">
      <w:pPr>
        <w:spacing w:after="160" w:line="259" w:lineRule="auto"/>
        <w:jc w:val="center"/>
        <w:rPr>
          <w:lang w:val="en-US"/>
        </w:rPr>
      </w:pPr>
    </w:p>
    <w:p w14:paraId="0D8D7E32" w14:textId="77777777" w:rsidR="00830FE5" w:rsidRDefault="00830FE5" w:rsidP="001A3A2E">
      <w:pPr>
        <w:spacing w:after="160" w:line="259" w:lineRule="auto"/>
        <w:jc w:val="center"/>
        <w:rPr>
          <w:lang w:val="en-US"/>
        </w:rPr>
      </w:pPr>
    </w:p>
    <w:p w14:paraId="0B7210AE" w14:textId="77777777" w:rsidR="00830FE5" w:rsidRDefault="00830FE5" w:rsidP="001A3A2E">
      <w:pPr>
        <w:spacing w:after="160" w:line="259" w:lineRule="auto"/>
        <w:jc w:val="center"/>
        <w:rPr>
          <w:lang w:val="en-US"/>
        </w:rPr>
      </w:pPr>
    </w:p>
    <w:p w14:paraId="5F3E52D7" w14:textId="27267B34" w:rsidR="00C802F8" w:rsidRDefault="00C802F8" w:rsidP="00C802F8">
      <w:pPr>
        <w:tabs>
          <w:tab w:val="left" w:pos="3060"/>
        </w:tabs>
        <w:rPr>
          <w:lang w:val="en-US"/>
        </w:rPr>
      </w:pPr>
    </w:p>
    <w:p w14:paraId="5C7D0E45" w14:textId="77777777" w:rsidR="00C802F8" w:rsidRPr="00C802F8" w:rsidRDefault="00C802F8" w:rsidP="00C802F8">
      <w:pPr>
        <w:tabs>
          <w:tab w:val="left" w:pos="3060"/>
        </w:tabs>
        <w:rPr>
          <w:lang w:val="en-US"/>
        </w:rPr>
      </w:pPr>
    </w:p>
    <w:p>
      <w:pPr>
        <w:spacing w:line="360" w:lineRule="auto"/>
        <w:jc w:val="both"/>
      </w:pPr>
      <w:r>
        <w:rPr>
          <w:rFonts w:ascii="Times New Roman" w:hAnsi="Times New Roman"/>
          <w:sz w:val="24"/>
        </w:rPr>
        <w:t>INVESTMENT MEMORANDUM – StoreDot</w:t>
      </w: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$35 K, SOM $5 K; Market Penetration: 4.2 %</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Focuses on solid-state lithium-metal batteries promising higher energy density and faster charging times.</w:t>
      </w:r>
    </w:p>
    <w:p>
      <w:pPr>
        <w:spacing w:line="360" w:lineRule="auto"/>
        <w:jc w:val="both"/>
      </w:pPr>
      <w:r>
        <w:rPr>
          <w:rFonts w:ascii="Times New Roman" w:hAnsi="Times New Roman"/>
          <w:sz w:val="24"/>
        </w:rPr>
        <w:t>Strengths: [Not specified]</w:t>
      </w:r>
    </w:p>
    <w:p>
      <w:pPr>
        <w:spacing w:line="360" w:lineRule="auto"/>
        <w:jc w:val="both"/>
      </w:pPr>
      <w:r>
        <w:rPr>
          <w:rFonts w:ascii="Times New Roman" w:hAnsi="Times New Roman"/>
          <w:sz w:val="24"/>
        </w:rPr>
        <w:t>Weaknesses: [Not specified]</w:t>
      </w:r>
    </w:p>
    <w:p>
      <w:pPr>
        <w:spacing w:line="360" w:lineRule="auto"/>
        <w:jc w:val="both"/>
      </w:pPr>
      <w:r>
        <w:rPr>
          <w:rFonts w:ascii="Times New Roman" w:hAnsi="Times New Roman"/>
          <w:sz w:val="24"/>
        </w:rPr>
        <w:t>• Sila Nanotechnologies: Develops silicon-dominant anode materials to enhance lithium-ion battery capacity and charging speed.</w:t>
      </w:r>
    </w:p>
    <w:p>
      <w:pPr>
        <w:spacing w:line="360" w:lineRule="auto"/>
        <w:jc w:val="both"/>
      </w:pPr>
      <w:r>
        <w:rPr>
          <w:rFonts w:ascii="Times New Roman" w:hAnsi="Times New Roman"/>
          <w:sz w:val="24"/>
        </w:rPr>
        <w:t>• Solid Power: Specializes in all-solid-state batteries with scalable manufacturing processes targeting automotive applications.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developing extreme fast charging (XFC) battery technology aimed at accelerating electric vehicle (EV) adoption by addressing charging speed and "charging anxiety." Their core business model centers on licensing their proprietary silicon-dominant anode lithium-ion battery technology, which enables charging 100 miles of range in 5 minutes, to OEMs and manufacturing partners globally. Revenue streams primarily come from technology licensing and partnerships with over 15 OEMs currently testing their cells, targeting mass-market EV manufacturers as their main customer segment. Their go-to-market strategy leverages compatibility with existing Li-ion manufacturing lines to enable scalable, cost-effective production, with commercial readiness expected by 2025. StoreDot’s technology roadmap includes advancements toward semi-solid and post-lithium batteries, maintaining a competitive edge over emerging battery chemistries. No recent pivots were identified, and the company appears focused on scaling through licensing and strategic OEM collaborations.</w:t>
      </w:r>
    </w:p>
    <w:p>
      <w:pPr>
        <w:spacing w:line="360" w:lineRule="auto"/>
        <w:jc w:val="both"/>
      </w:pPr>
      <w:r>
        <w:rPr>
          <w:rFonts w:ascii="Times New Roman" w:hAnsi="Times New Roman"/>
          <w:sz w:val="24"/>
        </w:rPr>
        <w:t>Sources: StoreDot April 2023 Corporate Overview; UBS Global EV Battery Makers report (cited in materials).</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Technology Maturity: production. Moat: Leading extreme fast charging technology with proven performance and scalability. 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Leading extreme fast charging technology with proven performance and scalability</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13, 2025.</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an advanced battery technology startup focused on enabling extreme fast charging (XFC) for electric vehicles (EVs), aiming to overcome key barriers like charging time and infrastructure limitations that hinder EV mass adoption. Their technology promises a 10-minute charge with over 1200 fast charge cycles without degradation, leveraging scalable, lithium-ion compatible production processes and a patent portfolio that supports sustainable battery chemistry improvements, including cobalt reduction. Socially, StoreDot addresses "charging anxiety," enhancing user convenience and accelerating EV adoption, which aligns with global decarbonization goals. Governance appears strong with experienced leadership from automotive and semiconductor sectors and a global advisory board of EV experts, though detailed ESG policies or diversity metrics are not disclosed. No recent ESG controversies or negative news were found in available sources, but further data on environmental impact assessments and supply chain labor practices would be beneficial for a comprehensive ESG evaluation.</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Overall Risk Level: N/A</w:t>
      </w:r>
    </w:p>
    <w:p>
      <w:pPr>
        <w:spacing w:after="0"/>
      </w:pPr>
    </w:p>
    <w:p>
      <w:pPr>
        <w:spacing w:line="360" w:lineRule="auto" w:after="120"/>
        <w:jc w:val="both"/>
      </w:pPr>
      <w:r>
        <w:rPr>
          <w:rFonts w:ascii="Times New Roman" w:hAnsi="Times New Roman"/>
          <w:b/>
          <w:sz w:val="24"/>
        </w:rPr>
        <w:t>IDENTIFIED RISKS:</w:t>
      </w:r>
    </w:p>
    <w:p>
      <w:pPr>
        <w:spacing w:line="360" w:lineRule="auto"/>
        <w:jc w:val="both"/>
      </w:pPr>
      <w:r>
        <w:rPr>
          <w:rFonts w:ascii="Times New Roman" w:hAnsi="Times New Roman"/>
          <w:sz w:val="24"/>
        </w:rPr>
        <w:t>1. Limited financial data</w:t>
      </w:r>
    </w:p>
    <w:p>
      <w:pPr>
        <w:spacing w:line="360" w:lineRule="auto"/>
        <w:jc w:val="both"/>
      </w:pPr>
      <w:r>
        <w:rPr>
          <w:rFonts w:ascii="Times New Roman" w:hAnsi="Times New Roman"/>
          <w:sz w:val="24"/>
        </w:rPr>
        <w:t>2. Unknown funding stage</w:t>
      </w:r>
    </w:p>
    <w:p>
      <w:pPr>
        <w:spacing w:line="360" w:lineRule="auto"/>
        <w:jc w:val="both"/>
      </w:pPr>
      <w:r>
        <w:rPr>
          <w:rFonts w:ascii="Times New Roman" w:hAnsi="Times New Roman"/>
          <w:sz w:val="24"/>
        </w:rPr>
        <w:t>3. Limited runway information</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promising future in the EV industry. Potential exit scenarios could include acquisition by a major EV manufacturer looking to enhance their charging capabilities or by a tech company interested in expanding into the EV market. An IPO could also be a viable exit strategy, especially if StoreDot continues to demonstrate technological superiority and market readiness. A recommended exit timeline could be within the next 3-5 years, aligning with StoreDot's commercial readiness in 2025. However, more information on current partnerships, financials, and market traction would be needed for a more comprehensive analysis.</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validation reports or test data confirming &gt;1200 consecutive extreme fast charging (XFC) cycles without degradation.</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Obtain independent benchmarking data comparing StoreDot’s battery performance (energy density, charging speed, cycle life) against leading competitors and emerging technologies.</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Identify the &gt;15 OEMs and manufacturing partners currently testing the 100in5 cells; request letters of intent (LOIs) or partnership agreements.</w:t>
      </w:r>
    </w:p>
    <w:p>
      <w:pPr>
        <w:spacing w:line="360" w:lineRule="auto"/>
        <w:jc w:val="both"/>
      </w:pPr>
      <w:r>
        <w:rPr>
          <w:rFonts w:ascii="Times New Roman" w:hAnsi="Times New Roman"/>
          <w:sz w:val="24"/>
        </w:rPr>
        <w:t>- Understand the scale and timeline of planned commercial production starting 2025; confirm manufacturing capacity and supply chain readiness.</w:t>
      </w:r>
    </w:p>
    <w:p>
      <w:pPr>
        <w:spacing w:line="360" w:lineRule="auto"/>
        <w:jc w:val="both"/>
      </w:pPr>
      <w:r>
        <w:rPr>
          <w:rFonts w:ascii="Times New Roman" w:hAnsi="Times New Roman"/>
          <w:sz w:val="24"/>
        </w:rPr>
        <w:t>- Assess risks related to dependency on existing Li-ion manufacturing lines and any required retrofitting or CAPEX investments by partners.</w:t>
      </w:r>
    </w:p>
    <w:p>
      <w:pPr>
        <w:spacing w:line="360" w:lineRule="auto"/>
        <w:jc w:val="both"/>
      </w:pPr>
      <w:r>
        <w:rPr>
          <w:rFonts w:ascii="Times New Roman" w:hAnsi="Times New Roman"/>
          <w:sz w:val="24"/>
        </w:rPr>
        <w:t>- **Technology Roadmap &amp; Scalability**</w:t>
      </w:r>
    </w:p>
    <w:p>
      <w:pPr>
        <w:spacing w:line="360" w:lineRule="auto"/>
        <w:jc w:val="both"/>
      </w:pPr>
      <w:r>
        <w:rPr>
          <w:rFonts w:ascii="Times New Roman" w:hAnsi="Times New Roman"/>
          <w:sz w:val="24"/>
        </w:rPr>
        <w:t>- Request detailed technical roadmap and milestones for 2024 (production readiness), 2028 (semi-solid), and 2032 (post-lithium) products.</w:t>
      </w:r>
    </w:p>
    <w:p>
      <w:pPr>
        <w:spacing w:line="360" w:lineRule="auto"/>
        <w:jc w:val="both"/>
      </w:pPr>
      <w:r>
        <w:rPr>
          <w:rFonts w:ascii="Times New Roman" w:hAnsi="Times New Roman"/>
          <w:sz w:val="24"/>
        </w:rPr>
        <w:t>- Clarify cost structure assumptions and expected cost per kWh at scale; compare with current industry benchmarks.</w:t>
      </w:r>
    </w:p>
    <w:p>
      <w:pPr>
        <w:spacing w:line="360" w:lineRule="auto"/>
        <w:jc w:val="both"/>
      </w:pPr>
      <w:r>
        <w:rPr>
          <w:rFonts w:ascii="Times New Roman" w:hAnsi="Times New Roman"/>
          <w:sz w:val="24"/>
        </w:rPr>
        <w:t>- Understand challenges and risks in scaling from lab to mass production, especially for semi-solid and post-lithium chemistries.</w:t>
      </w:r>
    </w:p>
    <w:p>
      <w:pPr>
        <w:spacing w:line="360" w:lineRule="auto"/>
        <w:jc w:val="both"/>
      </w:pPr>
      <w:r>
        <w:rPr>
          <w:rFonts w:ascii="Times New Roman" w:hAnsi="Times New Roman"/>
          <w:sz w:val="24"/>
        </w:rPr>
        <w:t>- **Market Adoption &amp; Competitive Landscape**</w:t>
      </w:r>
    </w:p>
    <w:p>
      <w:pPr>
        <w:spacing w:line="360" w:lineRule="auto"/>
        <w:jc w:val="both"/>
      </w:pPr>
      <w:r>
        <w:rPr>
          <w:rFonts w:ascii="Times New Roman" w:hAnsi="Times New Roman"/>
          <w:sz w:val="24"/>
        </w:rPr>
        <w:t>- Validate market adoption assumptions, especially the &gt;60% BEV penetration by 2030 in US, EU, and China.</w:t>
      </w:r>
    </w:p>
    <w:p>
      <w:pPr>
        <w:spacing w:line="360" w:lineRule="auto"/>
        <w:jc w:val="both"/>
      </w:pPr>
      <w:r>
        <w:rPr>
          <w:rFonts w:ascii="Times New Roman" w:hAnsi="Times New Roman"/>
          <w:sz w:val="24"/>
        </w:rPr>
        <w:t>- Analyze competitive threats from other battery chemistries and fast charging solutions, including ASSB and silicon-dominant anodes.</w:t>
      </w:r>
    </w:p>
    <w:p>
      <w:pPr>
        <w:spacing w:line="360" w:lineRule="auto"/>
        <w:jc w:val="both"/>
      </w:pPr>
      <w:r>
        <w:rPr>
          <w:rFonts w:ascii="Times New Roman" w:hAnsi="Times New Roman"/>
          <w:sz w:val="24"/>
        </w:rPr>
        <w:t>- Assess StoreDot’s strategy to address charging infrastructure and standardization challenges beyond battery tech.</w:t>
      </w:r>
    </w:p>
    <w:p>
      <w:pPr>
        <w:spacing w:line="360" w:lineRule="auto"/>
        <w:jc w:val="both"/>
      </w:pPr>
      <w:r>
        <w:rPr>
          <w:rFonts w:ascii="Times New Roman" w:hAnsi="Times New Roman"/>
          <w:sz w:val="24"/>
        </w:rPr>
        <w:t>- **Financials &amp; Business Model**</w:t>
      </w:r>
    </w:p>
    <w:p>
      <w:pPr>
        <w:spacing w:line="360" w:lineRule="auto"/>
        <w:jc w:val="both"/>
      </w:pPr>
      <w:r>
        <w:rPr>
          <w:rFonts w:ascii="Times New Roman" w:hAnsi="Times New Roman"/>
          <w:sz w:val="24"/>
        </w:rPr>
        <w:t>- Request detailed financial projections, including revenue streams from licensing, cell sales, and partnerships.</w:t>
      </w:r>
    </w:p>
    <w:p>
      <w:pPr>
        <w:spacing w:line="360" w:lineRule="auto"/>
        <w:jc w:val="both"/>
      </w:pPr>
      <w:r>
        <w:rPr>
          <w:rFonts w:ascii="Times New Roman" w:hAnsi="Times New Roman"/>
          <w:sz w:val="24"/>
        </w:rPr>
        <w:t>- Clarify pricing strategy and expected margins relative to incumbent battery suppliers.</w:t>
      </w:r>
    </w:p>
    <w:p>
      <w:pPr>
        <w:spacing w:line="360" w:lineRule="auto"/>
        <w:jc w:val="both"/>
      </w:pPr>
      <w:r>
        <w:rPr>
          <w:rFonts w:ascii="Times New Roman" w:hAnsi="Times New Roman"/>
          <w:sz w:val="24"/>
        </w:rPr>
        <w:t>- Understand capital requirements and planned use of funds to reach commercial scale.</w:t>
      </w:r>
    </w:p>
    <w:p>
      <w:pPr>
        <w:spacing w:line="360" w:lineRule="auto"/>
        <w:jc w:val="both"/>
      </w:pPr>
      <w:r>
        <w:rPr>
          <w:rFonts w:ascii="Times New Roman" w:hAnsi="Times New Roman"/>
          <w:sz w:val="24"/>
        </w:rPr>
        <w:t>- **Regulatory &amp; Sustainability**</w:t>
      </w:r>
    </w:p>
    <w:p>
      <w:pPr>
        <w:spacing w:line="360" w:lineRule="auto"/>
        <w:jc w:val="both"/>
      </w:pPr>
      <w:r>
        <w:rPr>
          <w:rFonts w:ascii="Times New Roman" w:hAnsi="Times New Roman"/>
          <w:sz w:val="24"/>
        </w:rPr>
        <w:t>- Confirm compliance with relevant automotive and battery safety standards globally.</w:t>
      </w:r>
    </w:p>
    <w:p>
      <w:pPr>
        <w:spacing w:line="360" w:lineRule="auto"/>
        <w:jc w:val="both"/>
      </w:pPr>
      <w:r>
        <w:rPr>
          <w:rFonts w:ascii="Times New Roman" w:hAnsi="Times New Roman"/>
          <w:sz w:val="24"/>
        </w:rPr>
        <w:t>- Request details on cobalt content reduction and other sustainability initiatives in production.</w:t>
      </w:r>
    </w:p>
    <w:p>
      <w:pPr>
        <w:spacing w:line="360" w:lineRule="auto"/>
        <w:jc w:val="both"/>
      </w:pPr>
      <w:r>
        <w:rPr>
          <w:rFonts w:ascii="Times New Roman" w:hAnsi="Times New Roman"/>
          <w:sz w:val="24"/>
        </w:rPr>
        <w:t>- **Team &amp; Governance**</w:t>
      </w:r>
    </w:p>
    <w:p>
      <w:pPr>
        <w:spacing w:line="360" w:lineRule="auto"/>
        <w:jc w:val="both"/>
      </w:pPr>
      <w:r>
        <w:rPr>
          <w:rFonts w:ascii="Times New Roman" w:hAnsi="Times New Roman"/>
          <w:sz w:val="24"/>
        </w:rPr>
        <w:t>- Conduct background checks on key executives and advisory board members.</w:t>
      </w:r>
    </w:p>
    <w:p>
      <w:pPr>
        <w:spacing w:line="360" w:lineRule="auto"/>
        <w:jc w:val="both"/>
      </w:pPr>
      <w:r>
        <w:rPr>
          <w:rFonts w:ascii="Times New Roman" w:hAnsi="Times New Roman"/>
          <w:sz w:val="24"/>
        </w:rPr>
        <w:t>- Understand organizational structure and hiring plans to support scaling.</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with R&amp;D and CTO.</w:t>
      </w:r>
    </w:p>
    <w:p>
      <w:pPr>
        <w:spacing w:line="360" w:lineRule="auto"/>
        <w:jc w:val="both"/>
      </w:pPr>
      <w:r>
        <w:rPr>
          <w:rFonts w:ascii="Times New Roman" w:hAnsi="Times New Roman"/>
          <w:sz w:val="24"/>
        </w:rPr>
        <w:t>- Engage independent battery experts for technology due diligence.</w:t>
      </w:r>
    </w:p>
    <w:p>
      <w:pPr>
        <w:spacing w:line="360" w:lineRule="auto"/>
        <w:jc w:val="both"/>
      </w:pPr>
      <w:r>
        <w:rPr>
          <w:rFonts w:ascii="Times New Roman" w:hAnsi="Times New Roman"/>
          <w:sz w:val="24"/>
        </w:rPr>
        <w:t>- Initiate reference checks with OEM partners.</w:t>
      </w:r>
    </w:p>
    <w:p>
      <w:pPr>
        <w:spacing w:line="360" w:lineRule="auto"/>
        <w:jc w:val="both"/>
      </w:pPr>
      <w:r>
        <w:rPr>
          <w:rFonts w:ascii="Times New Roman" w:hAnsi="Times New Roman"/>
          <w:sz w:val="24"/>
        </w:rPr>
        <w:t>- Review detailed financial model and unit economics.</w:t>
      </w:r>
    </w:p>
    <w:p>
      <w:pPr>
        <w:spacing w:line="360" w:lineRule="auto"/>
        <w:jc w:val="both"/>
      </w:pPr>
      <w:r>
        <w:rPr>
          <w:rFonts w:ascii="Times New Roman" w:hAnsi="Times New Roman"/>
          <w:sz w:val="24"/>
        </w:rPr>
        <w:t>- Assess IP portfolio with patent counsel.</w:t>
      </w:r>
    </w:p>
    <w:p>
      <w:pPr>
        <w:spacing w:line="360" w:lineRule="auto"/>
        <w:jc w:val="both"/>
      </w:pPr>
      <w:r>
        <w:rPr>
          <w:rFonts w:ascii="Times New Roman" w:hAnsi="Times New Roman"/>
          <w:sz w:val="24"/>
        </w:rPr>
        <w:t>If these areas are addressed satisfactorily, proceed to term sheet discussion.</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Differentiation:** StoreDot’s silicon-dominant anode lithium-ion battery enabling 100 miles of range in 5-10 minutes charging is a compelling breakthrough addressing a critical EV adoption barrier—charging speed and range anxiety. Compatibility with existing Li-ion manufacturing lines enhances scalability and lowers adoption friction.</w:t>
      </w:r>
    </w:p>
    <w:p>
      <w:pPr>
        <w:spacing w:line="360" w:lineRule="auto"/>
        <w:jc w:val="both"/>
      </w:pPr>
      <w:r>
        <w:rPr>
          <w:rFonts w:ascii="Times New Roman" w:hAnsi="Times New Roman"/>
          <w:sz w:val="24"/>
        </w:rPr>
        <w:t>- **Strong OEM Engagement:** Partnerships with over 15 OEMs currently testing the technology indicate early market validation and potential for licensing revenue streams. This OEM traction is crucial for commercial adoption and scaling.</w:t>
      </w:r>
    </w:p>
    <w:p>
      <w:pPr>
        <w:spacing w:line="360" w:lineRule="auto"/>
        <w:jc w:val="both"/>
      </w:pPr>
      <w:r>
        <w:rPr>
          <w:rFonts w:ascii="Times New Roman" w:hAnsi="Times New Roman"/>
          <w:sz w:val="24"/>
        </w:rPr>
        <w:t>- **Robust IP Portfolio:** 78 granted US patents and 22 pending patents provide a defensible moat in a competitive battery tech landscape, supporting licensing and partnership negotiations.</w:t>
      </w:r>
    </w:p>
    <w:p>
      <w:pPr>
        <w:spacing w:line="360" w:lineRule="auto"/>
        <w:jc w:val="both"/>
      </w:pPr>
      <w:r>
        <w:rPr>
          <w:rFonts w:ascii="Times New Roman" w:hAnsi="Times New Roman"/>
          <w:sz w:val="24"/>
        </w:rPr>
        <w:t>- **Experienced Founder &amp; Team:** Doron Myersdorf’s prior exits and sector experience add credibility and execution capability to the venture.</w:t>
      </w:r>
    </w:p>
    <w:p>
      <w:pPr>
        <w:spacing w:line="360" w:lineRule="auto"/>
        <w:jc w:val="both"/>
      </w:pPr>
      <w:r>
        <w:rPr>
          <w:rFonts w:ascii="Times New Roman" w:hAnsi="Times New Roman"/>
          <w:sz w:val="24"/>
        </w:rPr>
        <w:t>- **ESG Alignment:** Technology supports decarbonization goals by enabling faster EV adoption and includes cobalt reduction efforts, aligning with sustainability trends.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disclosed financials, funding stage, or runway details severely limit assessment of financial health, capital adequacy, and valuation.</w:t>
      </w:r>
    </w:p>
    <w:p>
      <w:pPr>
        <w:spacing w:line="360" w:lineRule="auto"/>
        <w:jc w:val="both"/>
      </w:pPr>
      <w:r>
        <w:rPr>
          <w:rFonts w:ascii="Times New Roman" w:hAnsi="Times New Roman"/>
          <w:sz w:val="24"/>
        </w:rPr>
        <w:t>- **Unverified Technical Claims:** Independent validation of performance claims (cycle life, safety, degradation) is missing, raising risk around technology readiness and reliability.</w:t>
      </w:r>
    </w:p>
    <w:p>
      <w:pPr>
        <w:spacing w:line="360" w:lineRule="auto"/>
        <w:jc w:val="both"/>
      </w:pPr>
      <w:r>
        <w:rPr>
          <w:rFonts w:ascii="Times New Roman" w:hAnsi="Times New Roman"/>
          <w:sz w:val="24"/>
        </w:rPr>
        <w:t>- **Market Size Data Ambiguity:** TAM/SAM/SOM figures are presented as $120K/$35K/$5K, which likely are placeholders or errors, undermining market opportunity clarity.</w:t>
      </w:r>
    </w:p>
    <w:p>
      <w:pPr>
        <w:spacing w:line="360" w:lineRule="auto"/>
        <w:jc w:val="both"/>
      </w:pPr>
      <w:r>
        <w:rPr>
          <w:rFonts w:ascii="Times New Roman" w:hAnsi="Times New Roman"/>
          <w:sz w:val="24"/>
        </w:rPr>
        <w:t>- **Competitive Landscape Underdeveloped:** Competitor strengths and weaknesses are not detailed, limiting understanding of StoreDot’s relative positioning and differentiation.</w:t>
      </w:r>
    </w:p>
    <w:p>
      <w:pPr>
        <w:spacing w:line="360" w:lineRule="auto"/>
        <w:jc w:val="both"/>
      </w:pPr>
      <w:r>
        <w:rPr>
          <w:rFonts w:ascii="Times New Roman" w:hAnsi="Times New Roman"/>
          <w:sz w:val="24"/>
        </w:rPr>
        <w:t>- **Dependency on OEM Licensing:** Business model heavily reliant on OEM adoption and licensing success, which can be slow and subject to OEM internal priorities and supply chain risks.</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Tailwinds:** Growing global EV penetration (projected &gt;60% BEV by 2030) creates a large addressable market for fast charging battery tech.</w:t>
      </w:r>
    </w:p>
    <w:p>
      <w:pPr>
        <w:spacing w:line="360" w:lineRule="auto"/>
        <w:jc w:val="both"/>
      </w:pPr>
      <w:r>
        <w:rPr>
          <w:rFonts w:ascii="Times New Roman" w:hAnsi="Times New Roman"/>
          <w:sz w:val="24"/>
        </w:rPr>
        <w:t>- **Technology Roadmap:** Advancements toward semi-solid and post-lithium batteries could sustain competitive advantage and open new markets beyond 2025.</w:t>
      </w:r>
    </w:p>
    <w:p>
      <w:pPr>
        <w:spacing w:line="360" w:lineRule="auto"/>
        <w:jc w:val="both"/>
      </w:pPr>
      <w:r>
        <w:rPr>
          <w:rFonts w:ascii="Times New Roman" w:hAnsi="Times New Roman"/>
          <w:sz w:val="24"/>
        </w:rPr>
        <w:t>- **Potential Strategic Exits:** Acquisition by major OEMs or tech companies seeking battery innovation is a plausible exit, alongside IPO potential if commercial milestones are met.</w:t>
      </w:r>
    </w:p>
    <w:p>
      <w:pPr>
        <w:spacing w:line="360" w:lineRule="auto"/>
        <w:jc w:val="both"/>
      </w:pPr>
      <w:r>
        <w:rPr>
          <w:rFonts w:ascii="Times New Roman" w:hAnsi="Times New Roman"/>
          <w:sz w:val="24"/>
        </w:rPr>
        <w:t>- **Infrastructure Synergies:** StoreDot’s tech could complement charging infrastructure providers, enabling integrated solutions that further reduce charging anxiety.</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**Technology Scale-Up Risk:** Transitioning from lab/prototype to mass production by 2025 involves significant technical and manufacturing challenges, including supply chain readiness and cost control.</w:t>
      </w:r>
    </w:p>
    <w:p>
      <w:pPr>
        <w:spacing w:line="360" w:lineRule="auto"/>
        <w:jc w:val="both"/>
      </w:pPr>
      <w:r>
        <w:rPr>
          <w:rFonts w:ascii="Times New Roman" w:hAnsi="Times New Roman"/>
          <w:sz w:val="24"/>
        </w:rPr>
        <w:t>- **IP Litigation &amp; Overlap:** Without detailed patent landscape analysis, risk of infringement or challenges from competitors exists.</w:t>
      </w:r>
    </w:p>
    <w:p>
      <w:pPr>
        <w:spacing w:line="360" w:lineRule="auto"/>
        <w:jc w:val="both"/>
      </w:pPr>
      <w:r>
        <w:rPr>
          <w:rFonts w:ascii="Times New Roman" w:hAnsi="Times New Roman"/>
          <w:sz w:val="24"/>
        </w:rPr>
        <w:t>- **Market Adoption Uncertainty:** OEMs may delay or limit adoption due to integration complexity, cost, or competing battery technologies (e.g., solid-state batteries).</w:t>
      </w:r>
    </w:p>
    <w:p>
      <w:pPr>
        <w:spacing w:line="360" w:lineRule="auto"/>
        <w:jc w:val="both"/>
      </w:pPr>
      <w:r>
        <w:rPr>
          <w:rFonts w:ascii="Times New Roman" w:hAnsi="Times New Roman"/>
          <w:sz w:val="24"/>
        </w:rPr>
        <w:t>- **Funding &amp; Runway Risk:** Unknown funding stage and financials raise concerns about ability to sustain R&amp;D and commercialization efforts through 2025.</w:t>
      </w:r>
    </w:p>
    <w:p>
      <w:pPr>
        <w:spacing w:line="360" w:lineRule="auto"/>
        <w:jc w:val="both"/>
      </w:pPr>
      <w:r>
        <w:rPr>
          <w:rFonts w:ascii="Times New Roman" w:hAnsi="Times New Roman"/>
          <w:sz w:val="24"/>
        </w:rPr>
        <w:t>- **Regulatory &amp; Safety Compliance:** Battery safety standards are stringent; failure to meet them could delay commercialization or cause reputational damage.</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**Prioritize Technical Due Diligence:** Insist on independent third-party validation of StoreDot’s battery performance, cycle life, and safety claims before committing capital.</w:t>
      </w:r>
    </w:p>
    <w:p>
      <w:pPr>
        <w:spacing w:line="360" w:lineRule="auto"/>
        <w:jc w:val="both"/>
      </w:pPr>
      <w:r>
        <w:rPr>
          <w:rFonts w:ascii="Times New Roman" w:hAnsi="Times New Roman"/>
          <w:sz w:val="24"/>
        </w:rPr>
        <w:t>2. **Clarify Financial Position:** Obtain detailed financials, funding history, and runway estimates to assess capital needs and dilution risk.</w:t>
      </w:r>
    </w:p>
    <w:p>
      <w:pPr>
        <w:spacing w:line="360" w:lineRule="auto"/>
        <w:jc w:val="both"/>
      </w:pPr>
      <w:r>
        <w:rPr>
          <w:rFonts w:ascii="Times New Roman" w:hAnsi="Times New Roman"/>
          <w:sz w:val="24"/>
        </w:rPr>
        <w:t>3. **Validate OEM Partnerships:** Secure LOIs or binding agreements from OEMs to confirm commercial traction and licensing revenue potential.</w:t>
      </w:r>
    </w:p>
    <w:p>
      <w:pPr>
        <w:spacing w:line="360" w:lineRule="auto"/>
        <w:jc w:val="both"/>
      </w:pPr>
      <w:r>
        <w:rPr>
          <w:rFonts w:ascii="Times New Roman" w:hAnsi="Times New Roman"/>
          <w:sz w:val="24"/>
        </w:rPr>
        <w:t>4. **Conduct IP Landscape Review:** Engage patent counsel to evaluate the strength and defensibility of StoreDot’s IP portfolio and identify infringement risks.</w:t>
      </w:r>
    </w:p>
    <w:p>
      <w:pPr>
        <w:spacing w:line="360" w:lineRule="auto"/>
        <w:jc w:val="both"/>
      </w:pPr>
      <w:r>
        <w:rPr>
          <w:rFonts w:ascii="Times New Roman" w:hAnsi="Times New Roman"/>
          <w:sz w:val="24"/>
        </w:rPr>
        <w:t>5. **Assess Scalability &amp; Cost Competitiveness:** Review detailed manufacturing plans, cost per kWh targets, and supply chain readiness to ensure commercial viability.</w:t>
      </w:r>
    </w:p>
    <w:p>
      <w:pPr>
        <w:spacing w:line="360" w:lineRule="auto"/>
        <w:jc w:val="both"/>
      </w:pPr>
      <w:r>
        <w:rPr>
          <w:rFonts w:ascii="Times New Roman" w:hAnsi="Times New Roman"/>
          <w:sz w:val="24"/>
        </w:rPr>
        <w:t>6. **Monitor Competitive Developments:** Track advancements in solid-state and other emerging battery technologies to gauge StoreDot’s long-term competitive positioning.</w:t>
      </w:r>
    </w:p>
    <w:p>
      <w:pPr>
        <w:spacing w:line="360" w:lineRule="auto"/>
        <w:jc w:val="both"/>
      </w:pPr>
      <w:r>
        <w:rPr>
          <w:rFonts w:ascii="Times New Roman" w:hAnsi="Times New Roman"/>
          <w:sz w:val="24"/>
        </w:rPr>
        <w:t>7. **Engage ESG &amp; Regulatory Experts:** Confirm compliance with environmental and safety standards and evaluate sustainability claims to mitigate regulatory risks.</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promising deep-tech opportunity addressing a critical bottleneck in EV adoption through a differentiated, scalable battery technology with strong OEM interest and IP protection. However, significant information gaps remain around financials, independent technology validation, and competitive positioning. The investment thesis hinges on successful scale-up by 2025 and OEM licensing execution.</w:t>
      </w:r>
    </w:p>
    <w:p>
      <w:pPr>
        <w:spacing w:line="360" w:lineRule="auto"/>
        <w:jc w:val="both"/>
      </w:pPr>
      <w:r>
        <w:rPr>
          <w:rFonts w:ascii="Times New Roman" w:hAnsi="Times New Roman"/>
          <w:sz w:val="24"/>
        </w:rPr>
        <w:t>**Next Steps:** Proceed with rigorous technical and financial due diligence, OEM partnership validation, and IP review. Only upon satisfactory resolution of these key risks should investors consider term sheet negotiation and capital deployment.</w:t>
      </w:r>
    </w:p>
    <w:p>
      <w:pPr>
        <w:spacing w:line="360" w:lineRule="auto"/>
        <w:jc w:val="both"/>
      </w:pPr>
      <w:r>
        <w:rPr>
          <w:rFonts w:ascii="Times New Roman" w:hAnsi="Times New Roman"/>
          <w:sz w:val="24"/>
        </w:rPr>
        <w:t>**Overall, StoreDot is a high-potential but high-risk investment requiring careful validation before commitment.**</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C802F8"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9619C" w14:textId="77777777" w:rsidR="00F71F85" w:rsidRDefault="00F71F85">
      <w:r>
        <w:separator/>
      </w:r>
    </w:p>
  </w:endnote>
  <w:endnote w:type="continuationSeparator" w:id="0">
    <w:p w14:paraId="5C5E2CE5" w14:textId="77777777" w:rsidR="00F71F85" w:rsidRDefault="00F71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51AC" w14:textId="77777777" w:rsidR="00F71F85" w:rsidRDefault="00F71F85">
      <w:r>
        <w:separator/>
      </w:r>
    </w:p>
  </w:footnote>
  <w:footnote w:type="continuationSeparator" w:id="0">
    <w:p w14:paraId="120A1F27" w14:textId="77777777" w:rsidR="00F71F85" w:rsidRDefault="00F71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F1795"/>
    <w:rsid w:val="00100DC3"/>
    <w:rsid w:val="0010114C"/>
    <w:rsid w:val="0010647D"/>
    <w:rsid w:val="00141365"/>
    <w:rsid w:val="00162558"/>
    <w:rsid w:val="0016357A"/>
    <w:rsid w:val="001A3A2E"/>
    <w:rsid w:val="001B1E7A"/>
    <w:rsid w:val="001D6CB3"/>
    <w:rsid w:val="001E0BED"/>
    <w:rsid w:val="001E0C9C"/>
    <w:rsid w:val="001E39C3"/>
    <w:rsid w:val="00232F13"/>
    <w:rsid w:val="00234EF1"/>
    <w:rsid w:val="00250652"/>
    <w:rsid w:val="00265E77"/>
    <w:rsid w:val="00273721"/>
    <w:rsid w:val="002770C3"/>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96C35"/>
    <w:rsid w:val="003B13D1"/>
    <w:rsid w:val="003B53C2"/>
    <w:rsid w:val="003C7B21"/>
    <w:rsid w:val="003E3956"/>
    <w:rsid w:val="00413D1E"/>
    <w:rsid w:val="00436826"/>
    <w:rsid w:val="00440DA2"/>
    <w:rsid w:val="00447CC9"/>
    <w:rsid w:val="00451967"/>
    <w:rsid w:val="00464004"/>
    <w:rsid w:val="004757D9"/>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D6C76"/>
    <w:rsid w:val="005E4972"/>
    <w:rsid w:val="0060001D"/>
    <w:rsid w:val="006243AE"/>
    <w:rsid w:val="00632C10"/>
    <w:rsid w:val="00634BDE"/>
    <w:rsid w:val="00636596"/>
    <w:rsid w:val="0066245E"/>
    <w:rsid w:val="00674DE7"/>
    <w:rsid w:val="00686276"/>
    <w:rsid w:val="0069107B"/>
    <w:rsid w:val="00702FCC"/>
    <w:rsid w:val="00703322"/>
    <w:rsid w:val="0074038C"/>
    <w:rsid w:val="0074064F"/>
    <w:rsid w:val="0076074B"/>
    <w:rsid w:val="00774B00"/>
    <w:rsid w:val="0078102A"/>
    <w:rsid w:val="00783404"/>
    <w:rsid w:val="007F686E"/>
    <w:rsid w:val="008017F9"/>
    <w:rsid w:val="00801A6D"/>
    <w:rsid w:val="008155A3"/>
    <w:rsid w:val="00822182"/>
    <w:rsid w:val="0082219D"/>
    <w:rsid w:val="00830FE5"/>
    <w:rsid w:val="00845957"/>
    <w:rsid w:val="0085320E"/>
    <w:rsid w:val="00856191"/>
    <w:rsid w:val="00862895"/>
    <w:rsid w:val="00876060"/>
    <w:rsid w:val="008839E2"/>
    <w:rsid w:val="008A2E35"/>
    <w:rsid w:val="008A47F1"/>
    <w:rsid w:val="008D5E24"/>
    <w:rsid w:val="008D73E1"/>
    <w:rsid w:val="008F671B"/>
    <w:rsid w:val="00945232"/>
    <w:rsid w:val="009541BA"/>
    <w:rsid w:val="00982DE1"/>
    <w:rsid w:val="00990D45"/>
    <w:rsid w:val="0099453E"/>
    <w:rsid w:val="0099589D"/>
    <w:rsid w:val="009A3A09"/>
    <w:rsid w:val="009B2F00"/>
    <w:rsid w:val="009D5183"/>
    <w:rsid w:val="009F3BE2"/>
    <w:rsid w:val="00A23FF9"/>
    <w:rsid w:val="00A338C6"/>
    <w:rsid w:val="00A40514"/>
    <w:rsid w:val="00A47E41"/>
    <w:rsid w:val="00A60FB3"/>
    <w:rsid w:val="00A62D23"/>
    <w:rsid w:val="00A707A4"/>
    <w:rsid w:val="00A87409"/>
    <w:rsid w:val="00A9363E"/>
    <w:rsid w:val="00AA006C"/>
    <w:rsid w:val="00AA0EC2"/>
    <w:rsid w:val="00AB0AF8"/>
    <w:rsid w:val="00AB75E9"/>
    <w:rsid w:val="00AC1B34"/>
    <w:rsid w:val="00B0316B"/>
    <w:rsid w:val="00B15B62"/>
    <w:rsid w:val="00B25D09"/>
    <w:rsid w:val="00B46AF0"/>
    <w:rsid w:val="00B477DB"/>
    <w:rsid w:val="00B772E1"/>
    <w:rsid w:val="00B8450B"/>
    <w:rsid w:val="00C03617"/>
    <w:rsid w:val="00C12690"/>
    <w:rsid w:val="00C453AD"/>
    <w:rsid w:val="00C5032E"/>
    <w:rsid w:val="00C54893"/>
    <w:rsid w:val="00C802F8"/>
    <w:rsid w:val="00C86B66"/>
    <w:rsid w:val="00CB7D42"/>
    <w:rsid w:val="00CC3D37"/>
    <w:rsid w:val="00CC5672"/>
    <w:rsid w:val="00CD3684"/>
    <w:rsid w:val="00CE797F"/>
    <w:rsid w:val="00D23B43"/>
    <w:rsid w:val="00D24564"/>
    <w:rsid w:val="00D26639"/>
    <w:rsid w:val="00D41530"/>
    <w:rsid w:val="00D423BB"/>
    <w:rsid w:val="00D608EF"/>
    <w:rsid w:val="00D958FD"/>
    <w:rsid w:val="00DB3B09"/>
    <w:rsid w:val="00DB5DB9"/>
    <w:rsid w:val="00DC3BC2"/>
    <w:rsid w:val="00DD5753"/>
    <w:rsid w:val="00E03B14"/>
    <w:rsid w:val="00E1228B"/>
    <w:rsid w:val="00E13F5E"/>
    <w:rsid w:val="00E43305"/>
    <w:rsid w:val="00E47931"/>
    <w:rsid w:val="00E6500E"/>
    <w:rsid w:val="00E81B94"/>
    <w:rsid w:val="00E832E8"/>
    <w:rsid w:val="00E8429D"/>
    <w:rsid w:val="00EB4BA7"/>
    <w:rsid w:val="00F15DA4"/>
    <w:rsid w:val="00F25176"/>
    <w:rsid w:val="00F5288C"/>
    <w:rsid w:val="00F71F85"/>
    <w:rsid w:val="00F87D6F"/>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Words>
  <Characters>61</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70</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10</cp:revision>
  <cp:lastPrinted>2012-08-22T12:07:00Z</cp:lastPrinted>
  <dcterms:created xsi:type="dcterms:W3CDTF">2025-07-11T11:27:00Z</dcterms:created>
  <dcterms:modified xsi:type="dcterms:W3CDTF">2025-07-13T10:08:00Z</dcterms:modified>
</cp:coreProperties>
</file>