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323EC" w14:textId="77777777" w:rsidR="001A3A2E" w:rsidRDefault="001A3A2E" w:rsidP="00703322">
      <w:pPr>
        <w:spacing w:after="160" w:line="259" w:lineRule="auto"/>
        <w:rPr>
          <w:lang w:val="en-US"/>
        </w:rPr>
      </w:pPr>
    </w:p>
    <w:p w14:paraId="1B751821" w14:textId="77777777" w:rsidR="001A3A2E" w:rsidRDefault="001A3A2E" w:rsidP="001A3A2E">
      <w:pPr>
        <w:spacing w:after="160" w:line="259" w:lineRule="auto"/>
        <w:jc w:val="center"/>
        <w:rPr>
          <w:lang w:val="en-US"/>
        </w:rPr>
      </w:pPr>
    </w:p>
    <w:p w14:paraId="7B98CE46" w14:textId="77777777" w:rsidR="001A3A2E" w:rsidRDefault="001A3A2E" w:rsidP="00703322">
      <w:pPr>
        <w:spacing w:after="160" w:line="259" w:lineRule="auto"/>
        <w:rPr>
          <w:lang w:val="en-US"/>
        </w:rPr>
      </w:pPr>
    </w:p>
    <w:p w14:paraId="50293DBD" w14:textId="77777777" w:rsidR="001A3A2E" w:rsidRDefault="001A3A2E" w:rsidP="00830FE5">
      <w:pPr>
        <w:spacing w:after="160" w:line="259" w:lineRule="auto"/>
        <w:rPr>
          <w:lang w:val="en-US"/>
        </w:rPr>
      </w:pPr>
    </w:p>
    <w:p w14:paraId="7A63088A" w14:textId="77777777" w:rsidR="001A3A2E" w:rsidRDefault="001A3A2E" w:rsidP="001A3A2E">
      <w:pPr>
        <w:spacing w:after="160" w:line="259" w:lineRule="auto"/>
        <w:jc w:val="center"/>
        <w:rPr>
          <w:lang w:val="en-US"/>
        </w:rPr>
      </w:pPr>
    </w:p>
    <w:p w14:paraId="1DF7B2BD" w14:textId="20CC3704" w:rsidR="00703322" w:rsidRPr="00FE612B" w:rsidRDefault="001A3A2E" w:rsidP="00FE612B">
      <w:pPr>
        <w:spacing w:after="160" w:line="259" w:lineRule="auto"/>
        <w:jc w:val="center"/>
        <w:rPr>
          <w:lang w:val="en-US"/>
        </w:rPr>
      </w:pPr>
      <w:r>
        <w:rPr>
          <w:noProof/>
          <w:lang w:val="en-US"/>
        </w:rPr>
        <w:drawing>
          <wp:inline distT="0" distB="0" distL="0" distR="0" wp14:anchorId="68A91648" wp14:editId="6CFB4186">
            <wp:extent cx="2806224" cy="2244979"/>
            <wp:effectExtent l="0" t="0" r="635" b="3175"/>
            <wp:docPr id="13860246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024639" name="Picture 1386024639"/>
                    <pic:cNvPicPr/>
                  </pic:nvPicPr>
                  <pic:blipFill>
                    <a:blip r:embed="rId8">
                      <a:extLst>
                        <a:ext uri="{28A0092B-C50C-407E-A947-70E740481C1C}">
                          <a14:useLocalDpi xmlns:a14="http://schemas.microsoft.com/office/drawing/2010/main" val="0"/>
                        </a:ext>
                      </a:extLst>
                    </a:blip>
                    <a:stretch>
                      <a:fillRect/>
                    </a:stretch>
                  </pic:blipFill>
                  <pic:spPr>
                    <a:xfrm>
                      <a:off x="0" y="0"/>
                      <a:ext cx="2847359" cy="2277887"/>
                    </a:xfrm>
                    <a:prstGeom prst="rect">
                      <a:avLst/>
                    </a:prstGeom>
                  </pic:spPr>
                </pic:pic>
              </a:graphicData>
            </a:graphic>
          </wp:inline>
        </w:drawing>
      </w:r>
    </w:p>
    <w:p w14:paraId="24F1EBB9" w14:textId="77777777" w:rsidR="00703322" w:rsidRDefault="00703322" w:rsidP="00703322">
      <w:pPr>
        <w:spacing w:after="160" w:line="259" w:lineRule="auto"/>
        <w:rPr>
          <w:rFonts w:ascii="Menlo" w:hAnsi="Menlo" w:cs="Menlo"/>
          <w:color w:val="D8DEE9"/>
          <w:sz w:val="18"/>
          <w:szCs w:val="18"/>
        </w:rPr>
      </w:pPr>
    </w:p>
    <w:p w14:paraId="0F02A99A" w14:textId="7431425F" w:rsidR="00FE612B" w:rsidRPr="00FE612B" w:rsidRDefault="00702FCC" w:rsidP="00FE612B">
      <w:pPr>
        <w:spacing w:after="160" w:line="259" w:lineRule="auto"/>
        <w:jc w:val="center"/>
        <w:rPr>
          <w:rFonts w:ascii="Menlo" w:hAnsi="Menlo" w:cs="Menlo"/>
          <w:color w:val="D8DEE9"/>
          <w:sz w:val="18"/>
          <w:szCs w:val="18"/>
        </w:rPr>
      </w:pPr>
      <w:r>
        <w:rPr>
          <w:rFonts w:ascii="Times New Roman" w:hAnsi="Times New Roman"/>
          <w:b/>
          <w:sz w:val="44"/>
        </w:rPr>
        <w:t>This Investment Memo for StoreDot was Automatically Generated by the VC Intelligence System</w:t>
      </w:r>
    </w:p>
    <w:p>
      <w:pPr>
        <w:jc w:val="center"/>
      </w:pPr>
      <w:r>
        <w:rPr>
          <w:rFonts w:ascii="Times New Roman" w:hAnsi="Times New Roman"/>
          <w:sz w:val="28"/>
        </w:rPr>
        <w:t>Prepared on July 13, 2025 at 05:20 PM</w:t>
      </w:r>
    </w:p>
    <w:p w14:paraId="6089034A" w14:textId="77777777" w:rsidR="00FE612B" w:rsidRDefault="00FE612B" w:rsidP="00FE612B">
      <w:pPr>
        <w:spacing w:after="160" w:line="259" w:lineRule="auto"/>
        <w:rPr>
          <w:rFonts w:ascii="Menlo" w:hAnsi="Menlo" w:cs="Menlo"/>
          <w:color w:val="D8DEE9"/>
          <w:sz w:val="18"/>
          <w:szCs w:val="18"/>
        </w:rPr>
      </w:pPr>
    </w:p>
    <w:p w14:paraId="323EFF1E" w14:textId="77777777" w:rsidR="00FE612B" w:rsidRDefault="00FE612B" w:rsidP="00FE612B">
      <w:pPr>
        <w:spacing w:after="160" w:line="259" w:lineRule="auto"/>
        <w:rPr>
          <w:rFonts w:ascii="Menlo" w:hAnsi="Menlo" w:cs="Menlo"/>
          <w:color w:val="D8DEE9"/>
          <w:sz w:val="18"/>
          <w:szCs w:val="18"/>
        </w:rPr>
      </w:pPr>
    </w:p>
    <w:p w14:paraId="3AB824E7" w14:textId="77777777" w:rsidR="00FE612B" w:rsidRDefault="00FE612B" w:rsidP="00FE612B">
      <w:pPr>
        <w:spacing w:after="160" w:line="259" w:lineRule="auto"/>
        <w:rPr>
          <w:rFonts w:ascii="Menlo" w:hAnsi="Menlo" w:cs="Menlo"/>
          <w:color w:val="D8DEE9"/>
          <w:sz w:val="18"/>
          <w:szCs w:val="18"/>
        </w:rPr>
      </w:pPr>
    </w:p>
    <w:p w14:paraId="719BF33D" w14:textId="77777777" w:rsidR="00FE612B" w:rsidRDefault="00FE612B" w:rsidP="00FE612B">
      <w:pPr>
        <w:spacing w:after="160" w:line="259" w:lineRule="auto"/>
        <w:rPr>
          <w:rFonts w:ascii="Menlo" w:hAnsi="Menlo" w:cs="Menlo"/>
          <w:color w:val="D8DEE9"/>
          <w:sz w:val="18"/>
          <w:szCs w:val="18"/>
        </w:rPr>
      </w:pPr>
    </w:p>
    <w:p w14:paraId="5D0C0F54" w14:textId="77777777" w:rsidR="00FE612B" w:rsidRDefault="00FE612B" w:rsidP="00FE612B">
      <w:pPr>
        <w:spacing w:after="160" w:line="259" w:lineRule="auto"/>
        <w:rPr>
          <w:rFonts w:ascii="Menlo" w:hAnsi="Menlo" w:cs="Menlo"/>
          <w:color w:val="D8DEE9"/>
          <w:sz w:val="18"/>
          <w:szCs w:val="18"/>
        </w:rPr>
      </w:pPr>
    </w:p>
    <w:p w14:paraId="6279F519" w14:textId="77777777" w:rsidR="00FE612B" w:rsidRDefault="00FE612B" w:rsidP="00FE612B">
      <w:pPr>
        <w:spacing w:after="160" w:line="259" w:lineRule="auto"/>
        <w:rPr>
          <w:rFonts w:ascii="Menlo" w:hAnsi="Menlo" w:cs="Menlo"/>
          <w:color w:val="D8DEE9"/>
          <w:sz w:val="18"/>
          <w:szCs w:val="18"/>
        </w:rPr>
      </w:pPr>
    </w:p>
    <w:p w14:paraId="0E8097DD" w14:textId="77777777" w:rsidR="00FE612B" w:rsidRDefault="00FE612B" w:rsidP="00FE612B">
      <w:pPr>
        <w:spacing w:after="160" w:line="259" w:lineRule="auto"/>
        <w:rPr>
          <w:rFonts w:ascii="Menlo" w:hAnsi="Menlo" w:cs="Menlo"/>
          <w:color w:val="D8DEE9"/>
          <w:sz w:val="18"/>
          <w:szCs w:val="18"/>
        </w:rPr>
      </w:pPr>
    </w:p>
    <w:p w14:paraId="468DE0C0" w14:textId="77777777" w:rsidR="00FE612B" w:rsidRDefault="00FE612B" w:rsidP="00FE612B">
      <w:pPr>
        <w:spacing w:after="160" w:line="259" w:lineRule="auto"/>
        <w:rPr>
          <w:rFonts w:ascii="Menlo" w:hAnsi="Menlo" w:cs="Menlo"/>
          <w:color w:val="D8DEE9"/>
          <w:sz w:val="18"/>
          <w:szCs w:val="18"/>
        </w:rPr>
      </w:pPr>
    </w:p>
    <w:p w14:paraId="68736E9D" w14:textId="77777777" w:rsidR="00FE612B" w:rsidRDefault="00FE612B" w:rsidP="00FE612B">
      <w:pPr>
        <w:spacing w:after="160" w:line="259" w:lineRule="auto"/>
        <w:rPr>
          <w:rFonts w:ascii="Menlo" w:hAnsi="Menlo" w:cs="Menlo"/>
          <w:color w:val="D8DEE9"/>
          <w:sz w:val="18"/>
          <w:szCs w:val="18"/>
        </w:rPr>
      </w:pPr>
    </w:p>
    <w:p w14:paraId="2F3F6A37" w14:textId="77777777" w:rsidR="00FE612B" w:rsidRDefault="00FE612B" w:rsidP="00FE612B">
      <w:pPr>
        <w:spacing w:after="160" w:line="259" w:lineRule="auto"/>
        <w:rPr>
          <w:rFonts w:ascii="Menlo" w:hAnsi="Menlo" w:cs="Menlo"/>
          <w:color w:val="D8DEE9"/>
          <w:sz w:val="18"/>
          <w:szCs w:val="18"/>
        </w:rPr>
      </w:pPr>
    </w:p>
    <w:p w14:paraId="1015C3F4" w14:textId="77777777" w:rsidR="00FE612B" w:rsidRDefault="00FE612B" w:rsidP="00FE612B">
      <w:pPr>
        <w:spacing w:after="160" w:line="259" w:lineRule="auto"/>
        <w:rPr>
          <w:rFonts w:ascii="Menlo" w:hAnsi="Menlo" w:cs="Menlo"/>
          <w:color w:val="D8DEE9"/>
          <w:sz w:val="18"/>
          <w:szCs w:val="18"/>
        </w:rPr>
      </w:pPr>
    </w:p>
    <w:p w14:paraId="7972B2B5" w14:textId="77777777" w:rsidR="00FE612B" w:rsidRDefault="00FE612B" w:rsidP="00FE612B">
      <w:pPr>
        <w:spacing w:after="160" w:line="259" w:lineRule="auto"/>
        <w:rPr>
          <w:rFonts w:ascii="Menlo" w:hAnsi="Menlo" w:cs="Menlo"/>
          <w:color w:val="D8DEE9"/>
          <w:sz w:val="18"/>
          <w:szCs w:val="18"/>
        </w:rPr>
      </w:pPr>
    </w:p>
    <w:p w14:paraId="432FD540" w14:textId="77777777" w:rsidR="00FE612B" w:rsidRDefault="00FE612B" w:rsidP="00FE612B">
      <w:pPr>
        <w:spacing w:after="160" w:line="259" w:lineRule="auto"/>
        <w:rPr>
          <w:rFonts w:ascii="Menlo" w:hAnsi="Menlo" w:cs="Menlo"/>
          <w:color w:val="D8DEE9"/>
          <w:sz w:val="18"/>
          <w:szCs w:val="18"/>
        </w:rPr>
      </w:pPr>
    </w:p>
    <w:p w14:paraId="23C0D29A" w14:textId="13DA1592" w:rsidR="00FE612B" w:rsidRDefault="00FE612B" w:rsidP="00FE612B">
      <w:pPr>
        <w:spacing w:after="160" w:line="360" w:lineRule="auto"/>
        <w:jc w:val="both"/>
        <w:rPr>
          <w:lang w:val="en-US"/>
        </w:rPr>
      </w:pPr>
      <w:r>
        <w:rPr>
          <w:rFonts w:ascii="Times New Roman" w:hAnsi="Times New Roman"/>
          <w:sz w:val="24"/>
        </w:rPr>
        <w:t>INVESTMENT MEMORANDUM – StoreDot</w:t>
      </w:r>
    </w:p>
    <w:p w14:paraId="3FD32F0D" w14:textId="77777777" w:rsidR="00FE612B" w:rsidRPr="00C802F8" w:rsidRDefault="00FE612B" w:rsidP="00C802F8">
      <w:pPr>
        <w:tabs>
          <w:tab w:val="left" w:pos="3060"/>
        </w:tabs>
        <w:rPr>
          <w:lang w:val="en-US"/>
        </w:rPr>
      </w:pPr>
    </w:p>
    <w:p>
      <w:pPr>
        <w:spacing w:after="0"/>
      </w:pPr>
    </w:p>
    <w:p>
      <w:pPr>
        <w:spacing w:line="360" w:lineRule="auto" w:after="120"/>
        <w:jc w:val="both"/>
      </w:pPr>
      <w:r>
        <w:rPr>
          <w:rFonts w:ascii="Times New Roman" w:hAnsi="Times New Roman"/>
          <w:b/>
          <w:sz w:val="24"/>
        </w:rPr>
        <w:t>1. DETAILED SUMMARY</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StoreDot, founded by Doron Myersdorf, is a deep-tech battery technology company focused on enabling mass EV adoption through extreme fast charging (XFC) batteries. Their proprietary silicon-dominant anode lithium-ion technology allows EVs to charge 100 miles in 5-10 minutes, a significant improvement over current solutions. The business model centers on licensing scalable, drop-in compatible battery tech to OEMs and manufacturing partners, with commercial readiness targeted for 2025. StoreDot's go-to-market strategy leverages partnerships with over 15 OEMs and a strong patent portfolio (78 granted US patents), positioning the company as a critical enabler for overcoming charging anxiety and infrastructure limitations.</w:t>
      </w:r>
    </w:p>
    <w:p>
      <w:pPr>
        <w:spacing w:after="0"/>
      </w:pPr>
    </w:p>
    <w:p>
      <w:pPr>
        <w:spacing w:line="360" w:lineRule="auto" w:after="120"/>
        <w:jc w:val="both"/>
      </w:pPr>
      <w:r>
        <w:rPr>
          <w:rFonts w:ascii="Times New Roman" w:hAnsi="Times New Roman"/>
          <w:b/>
          <w:sz w:val="24"/>
        </w:rPr>
        <w:t>2. COMPANY OVERVIEW</w:t>
      </w:r>
    </w:p>
    <w:p>
      <w:pPr>
        <w:spacing w:line="360" w:lineRule="auto"/>
        <w:jc w:val="both"/>
      </w:pPr>
      <w:r>
        <w:rPr>
          <w:rFonts w:ascii="Times New Roman" w:hAnsi="Times New Roman"/>
          <w:sz w:val="24"/>
        </w:rPr>
        <w:t>Company: StoreDot</w:t>
      </w:r>
    </w:p>
    <w:p>
      <w:pPr>
        <w:spacing w:line="360" w:lineRule="auto"/>
        <w:jc w:val="both"/>
      </w:pPr>
      <w:r>
        <w:rPr>
          <w:rFonts w:ascii="Times New Roman" w:hAnsi="Times New Roman"/>
          <w:sz w:val="24"/>
        </w:rPr>
        <w:t>Sector: Battery Technology</w:t>
      </w:r>
    </w:p>
    <w:p>
      <w:pPr>
        <w:spacing w:line="360" w:lineRule="auto"/>
        <w:jc w:val="both"/>
      </w:pPr>
      <w:r>
        <w:rPr>
          <w:rFonts w:ascii="Times New Roman" w:hAnsi="Times New Roman"/>
          <w:sz w:val="24"/>
        </w:rPr>
        <w:t>Website: The official website for the company StoreDot is https://storedot.com.</w:t>
      </w:r>
    </w:p>
    <w:p>
      <w:pPr>
        <w:spacing w:line="360" w:lineRule="auto"/>
        <w:jc w:val="both"/>
      </w:pPr>
      <w:r>
        <w:rPr>
          <w:rFonts w:ascii="Times New Roman" w:hAnsi="Times New Roman"/>
          <w:sz w:val="24"/>
        </w:rPr>
        <w:t>Funding Stage: Undisclosed</w:t>
      </w:r>
    </w:p>
    <w:p>
      <w:pPr>
        <w:spacing w:line="360" w:lineRule="auto"/>
        <w:jc w:val="both"/>
      </w:pPr>
      <w:r>
        <w:rPr>
          <w:rFonts w:ascii="Times New Roman" w:hAnsi="Times New Roman"/>
          <w:sz w:val="24"/>
        </w:rPr>
        <w:t>Team: Doron Myersdorf</w:t>
      </w:r>
    </w:p>
    <w:p>
      <w:pPr>
        <w:spacing w:after="0"/>
      </w:pPr>
    </w:p>
    <w:p>
      <w:pPr>
        <w:spacing w:line="360" w:lineRule="auto" w:after="120"/>
        <w:jc w:val="both"/>
      </w:pPr>
      <w:r>
        <w:rPr>
          <w:rFonts w:ascii="Times New Roman" w:hAnsi="Times New Roman"/>
          <w:b/>
          <w:sz w:val="24"/>
        </w:rPr>
        <w:t>3. PROBLEM STATEMENT</w:t>
      </w:r>
    </w:p>
    <w:p>
      <w:pPr>
        <w:spacing w:line="360" w:lineRule="auto"/>
        <w:jc w:val="both"/>
      </w:pPr>
      <w:r>
        <w:rPr>
          <w:rFonts w:ascii="Times New Roman" w:hAnsi="Times New Roman"/>
          <w:sz w:val="24"/>
        </w:rPr>
        <w:t>A major barrier to electric vehicle (EV) adoption is range anxiety—the fear that an EV cannot travel far enough on a single charge—and the inconvenience of slow charging speeds. Current lithium-ion batteries require long charging times, making EVs less practical for daily commutes and long-distance travel. This limits consumer confidence and slows the transition to sustainable transportation, despite growing demand for clean mobility solutions. Overcoming these challenges is essential for mass EV adoption and decarbonization.</w:t>
      </w:r>
    </w:p>
    <w:p>
      <w:pPr>
        <w:spacing w:after="0"/>
      </w:pPr>
    </w:p>
    <w:p>
      <w:pPr>
        <w:spacing w:line="360" w:lineRule="auto" w:after="120"/>
        <w:jc w:val="both"/>
      </w:pPr>
      <w:r>
        <w:rPr>
          <w:rFonts w:ascii="Times New Roman" w:hAnsi="Times New Roman"/>
          <w:b/>
          <w:sz w:val="24"/>
        </w:rPr>
        <w:t>4. SOLUTION OVERVIEW</w:t>
      </w:r>
    </w:p>
    <w:p>
      <w:pPr>
        <w:spacing w:line="360" w:lineRule="auto"/>
        <w:jc w:val="both"/>
      </w:pPr>
      <w:r>
        <w:rPr>
          <w:rFonts w:ascii="Times New Roman" w:hAnsi="Times New Roman"/>
          <w:sz w:val="24"/>
        </w:rPr>
        <w:t>StoreDot’s ultra-fast charging batteries leverage proprietary silicon-dominant anode technology to enable EVs to recharge 100 miles in 5-10 minutes. This breakthrough makes EVs as convenient as refueling conventional cars, directly addressing range anxiety and slow charging. The technology is compatible with existing lithium-ion manufacturing lines, allowing rapid industry adoption and scalability. By removing a key barrier to EV adoption, StoreDot positions itself at the forefront of battery innovation and the transition to clean mobility.</w:t>
      </w:r>
    </w:p>
    <w:p>
      <w:pPr>
        <w:spacing w:after="0"/>
      </w:pPr>
    </w:p>
    <w:p>
      <w:pPr>
        <w:spacing w:line="360" w:lineRule="auto" w:after="120"/>
        <w:jc w:val="both"/>
      </w:pPr>
      <w:r>
        <w:rPr>
          <w:rFonts w:ascii="Times New Roman" w:hAnsi="Times New Roman"/>
          <w:b/>
          <w:sz w:val="24"/>
        </w:rPr>
        <w:t>5. MARKET SIZE &amp; ANALYSIS</w:t>
      </w:r>
    </w:p>
    <w:p>
      <w:pPr>
        <w:spacing w:line="360" w:lineRule="auto"/>
        <w:jc w:val="both"/>
      </w:pPr>
      <w:r>
        <w:rPr>
          <w:rFonts w:ascii="Times New Roman" w:hAnsi="Times New Roman"/>
          <w:sz w:val="24"/>
        </w:rPr>
        <w:t>TAM $120 K, SAM $35 K, SOM $5 K; Market Penetration: 4.2 %</w:t>
      </w:r>
    </w:p>
    <w:p>
      <w:pPr>
        <w:spacing w:line="360" w:lineRule="auto"/>
        <w:jc w:val="both"/>
      </w:pPr>
      <w:r>
        <w:rPr>
          <w:rFonts w:ascii="Times New Roman" w:hAnsi="Times New Roman"/>
          <w:sz w:val="24"/>
        </w:rPr>
        <w:t>Battery Technology</w:t>
      </w:r>
    </w:p>
    <w:p>
      <w:pPr>
        <w:spacing w:after="0"/>
      </w:pPr>
    </w:p>
    <w:p>
      <w:pPr>
        <w:spacing w:line="360" w:lineRule="auto" w:after="120"/>
        <w:jc w:val="both"/>
      </w:pPr>
      <w:r>
        <w:rPr>
          <w:rFonts w:ascii="Times New Roman" w:hAnsi="Times New Roman"/>
          <w:b/>
          <w:sz w:val="24"/>
        </w:rPr>
        <w:t>6. COMPETITIVE LANDSCAPE</w:t>
      </w:r>
    </w:p>
    <w:p>
      <w:pPr>
        <w:spacing w:line="360" w:lineRule="auto"/>
        <w:jc w:val="both"/>
      </w:pPr>
      <w:r>
        <w:rPr>
          <w:rFonts w:ascii="Times New Roman" w:hAnsi="Times New Roman"/>
          <w:sz w:val="24"/>
        </w:rPr>
        <w:t>• QuantumScape: Developing solid-state lithium-metal batteries with high energy density and fast charging capabilities.</w:t>
      </w:r>
    </w:p>
    <w:p>
      <w:pPr>
        <w:spacing w:line="360" w:lineRule="auto"/>
        <w:jc w:val="both"/>
      </w:pPr>
      <w:r>
        <w:rPr>
          <w:rFonts w:ascii="Times New Roman" w:hAnsi="Times New Roman"/>
          <w:sz w:val="24"/>
        </w:rPr>
        <w:t>Strengths: [Not specified]</w:t>
      </w:r>
    </w:p>
    <w:p>
      <w:pPr>
        <w:spacing w:line="360" w:lineRule="auto"/>
        <w:jc w:val="both"/>
      </w:pPr>
      <w:r>
        <w:rPr>
          <w:rFonts w:ascii="Times New Roman" w:hAnsi="Times New Roman"/>
          <w:sz w:val="24"/>
        </w:rPr>
        <w:t>Weaknesses: [Not specified]</w:t>
      </w:r>
    </w:p>
    <w:p>
      <w:pPr>
        <w:spacing w:line="360" w:lineRule="auto"/>
        <w:jc w:val="both"/>
      </w:pPr>
      <w:r>
        <w:rPr>
          <w:rFonts w:ascii="Times New Roman" w:hAnsi="Times New Roman"/>
          <w:sz w:val="24"/>
        </w:rPr>
        <w:t>• Sila Nanotechnologies: Focuses on silicon-dominant anode materials to improve battery energy density and charging speed.</w:t>
      </w:r>
    </w:p>
    <w:p>
      <w:pPr>
        <w:spacing w:line="360" w:lineRule="auto"/>
        <w:jc w:val="both"/>
      </w:pPr>
      <w:r>
        <w:rPr>
          <w:rFonts w:ascii="Times New Roman" w:hAnsi="Times New Roman"/>
          <w:sz w:val="24"/>
        </w:rPr>
        <w:t>• Solid Power: Produces all-solid-state batteries targeting automotive applications with enhanced safety and performance.</w:t>
      </w:r>
    </w:p>
    <w:p>
      <w:pPr>
        <w:spacing w:after="0"/>
      </w:pPr>
    </w:p>
    <w:p>
      <w:pPr>
        <w:spacing w:line="360" w:lineRule="auto" w:after="120"/>
        <w:jc w:val="both"/>
      </w:pPr>
      <w:r>
        <w:rPr>
          <w:rFonts w:ascii="Times New Roman" w:hAnsi="Times New Roman"/>
          <w:b/>
          <w:sz w:val="24"/>
        </w:rPr>
        <w:t>7. BUSINESS MODEL</w:t>
      </w:r>
    </w:p>
    <w:p>
      <w:pPr>
        <w:spacing w:line="360" w:lineRule="auto"/>
        <w:jc w:val="both"/>
      </w:pPr>
      <w:r>
        <w:rPr>
          <w:rFonts w:ascii="Times New Roman" w:hAnsi="Times New Roman"/>
          <w:sz w:val="24"/>
        </w:rPr>
        <w:t>StoreDot is developing extreme fast charging (XFC) lithium-ion battery technology aimed at accelerating electric vehicle (EV) adoption by addressing charging speed and "charging anxiety." Their proprietary silicon-dominant anode batteries can charge 100 miles of range in 5-10 minutes, with over 1200 fast charge cycles and no degradation, positioning them 3-5 years ahead of competitors and commercially ready by 2025. The business model focuses on licensing their scalable, drop-in compatible battery technology to OEMs and manufacturing partners, targeting mass-market EV manufacturers as primary customers. StoreDot’s go-to-market strategy leverages partnerships with over 15 OEMs globally, emphasizing integration with existing lithium-ion production lines to minimize CAPEX and accelerate adoption. The technology roadmap includes semi-solid and post-lithium batteries for 2028 and 2032, ensuring long-term innovation and sustainability. No recent pivots were noted; the company remains focused on fast-charging battery tech commercialization.</w:t>
      </w:r>
    </w:p>
    <w:p>
      <w:pPr>
        <w:spacing w:line="360" w:lineRule="auto"/>
        <w:jc w:val="both"/>
      </w:pPr>
      <w:r>
        <w:rPr>
          <w:rFonts w:ascii="Times New Roman" w:hAnsi="Times New Roman"/>
          <w:sz w:val="24"/>
        </w:rPr>
        <w:t>Sources: StoreDot April 2023 Corporate Overview; UBS EV Battery Market report (cited).</w:t>
      </w:r>
    </w:p>
    <w:p>
      <w:pPr>
        <w:spacing w:after="0"/>
      </w:pPr>
    </w:p>
    <w:p>
      <w:pPr>
        <w:spacing w:line="360" w:lineRule="auto" w:after="120"/>
        <w:jc w:val="both"/>
      </w:pPr>
      <w:r>
        <w:rPr>
          <w:rFonts w:ascii="Times New Roman" w:hAnsi="Times New Roman"/>
          <w:b/>
          <w:sz w:val="24"/>
        </w:rPr>
        <w:t>8. TECHNICAL DUE DILIGENCE</w:t>
      </w:r>
    </w:p>
    <w:p>
      <w:pPr>
        <w:spacing w:line="360" w:lineRule="auto"/>
        <w:jc w:val="both"/>
      </w:pPr>
      <w:r>
        <w:rPr>
          <w:rFonts w:ascii="Times New Roman" w:hAnsi="Times New Roman"/>
          <w:sz w:val="24"/>
        </w:rPr>
        <w:t>Technology Maturity: production. Moat: StoreDot has a 3-5 years' lead on alternative solutions with extreme fast charging capability. Further technical due diligence is required, including independent validation of performance claims, cycle life, and safety.</w:t>
      </w:r>
    </w:p>
    <w:p>
      <w:pPr>
        <w:spacing w:after="0"/>
      </w:pPr>
    </w:p>
    <w:p>
      <w:pPr>
        <w:spacing w:line="360" w:lineRule="auto" w:after="120"/>
        <w:jc w:val="both"/>
      </w:pPr>
      <w:r>
        <w:rPr>
          <w:rFonts w:ascii="Times New Roman" w:hAnsi="Times New Roman"/>
          <w:b/>
          <w:sz w:val="24"/>
        </w:rPr>
        <w:t>9. PRODUCT DESCRIPTION</w:t>
      </w:r>
    </w:p>
    <w:p>
      <w:pPr>
        <w:spacing w:line="360" w:lineRule="auto"/>
        <w:jc w:val="both"/>
      </w:pPr>
      <w:r>
        <w:rPr>
          <w:rFonts w:ascii="Times New Roman" w:hAnsi="Times New Roman"/>
          <w:sz w:val="24"/>
        </w:rPr>
        <w:t>StoreDot has a 3-5 years' lead on alternative solutions with extreme fast charging capability</w:t>
      </w:r>
    </w:p>
    <w:p>
      <w:pPr>
        <w:spacing w:after="0"/>
      </w:pPr>
    </w:p>
    <w:p>
      <w:pPr>
        <w:spacing w:line="360" w:lineRule="auto" w:after="120"/>
        <w:jc w:val="both"/>
      </w:pPr>
      <w:r>
        <w:rPr>
          <w:rFonts w:ascii="Times New Roman" w:hAnsi="Times New Roman"/>
          <w:b/>
          <w:sz w:val="24"/>
        </w:rPr>
        <w:t>10. FINANCIAL ANALYSIS</w:t>
      </w:r>
    </w:p>
    <w:p>
      <w:pPr>
        <w:spacing w:line="360" w:lineRule="auto"/>
        <w:jc w:val="both"/>
      </w:pPr>
      <w:r>
        <w:rPr>
          <w:rFonts w:ascii="Times New Roman" w:hAnsi="Times New Roman"/>
          <w:sz w:val="24"/>
        </w:rPr>
        <w:t>Company has not released financials as of July 13, 2025.</w:t>
      </w:r>
    </w:p>
    <w:p>
      <w:pPr>
        <w:spacing w:after="0"/>
      </w:pPr>
    </w:p>
    <w:p>
      <w:pPr>
        <w:spacing w:line="360" w:lineRule="auto" w:after="120"/>
        <w:jc w:val="both"/>
      </w:pPr>
      <w:r>
        <w:rPr>
          <w:rFonts w:ascii="Times New Roman" w:hAnsi="Times New Roman"/>
          <w:b/>
          <w:sz w:val="24"/>
        </w:rPr>
        <w:t>11. TEAM &amp; MANAGEMENT</w:t>
      </w:r>
    </w:p>
    <w:p>
      <w:pPr>
        <w:spacing w:line="360" w:lineRule="auto"/>
        <w:jc w:val="both"/>
      </w:pPr>
      <w:r>
        <w:rPr>
          <w:rFonts w:ascii="Times New Roman" w:hAnsi="Times New Roman"/>
          <w:sz w:val="24"/>
        </w:rPr>
        <w:t>Founder: Doron Myersdorf</w:t>
      </w:r>
    </w:p>
    <w:p>
      <w:pPr>
        <w:spacing w:line="360" w:lineRule="auto"/>
        <w:jc w:val="both"/>
      </w:pPr>
      <w:r>
        <w:rPr>
          <w:rFonts w:ascii="Times New Roman" w:hAnsi="Times New Roman"/>
          <w:sz w:val="24"/>
        </w:rPr>
        <w:t>Founder Fit Score: 0.8</w:t>
      </w:r>
    </w:p>
    <w:p>
      <w:pPr>
        <w:spacing w:line="360" w:lineRule="auto"/>
        <w:jc w:val="both"/>
      </w:pPr>
      <w:r>
        <w:rPr>
          <w:rFonts w:ascii="Times New Roman" w:hAnsi="Times New Roman"/>
          <w:sz w:val="24"/>
        </w:rPr>
        <w:t>Prior Exits: 2</w:t>
      </w:r>
    </w:p>
    <w:p>
      <w:pPr>
        <w:spacing w:line="360" w:lineRule="auto"/>
        <w:jc w:val="both"/>
      </w:pPr>
      <w:r>
        <w:rPr>
          <w:rFonts w:ascii="Times New Roman" w:hAnsi="Times New Roman"/>
          <w:sz w:val="24"/>
        </w:rPr>
        <w:t>Sector Experience: Battery Technology</w:t>
      </w:r>
    </w:p>
    <w:p>
      <w:pPr>
        <w:spacing w:after="0"/>
      </w:pPr>
    </w:p>
    <w:p>
      <w:pPr>
        <w:spacing w:line="360" w:lineRule="auto" w:after="120"/>
        <w:jc w:val="both"/>
      </w:pPr>
      <w:r>
        <w:rPr>
          <w:rFonts w:ascii="Times New Roman" w:hAnsi="Times New Roman"/>
          <w:b/>
          <w:sz w:val="24"/>
        </w:rPr>
        <w:t>12. ESG CONSIDERATIONS</w:t>
      </w:r>
    </w:p>
    <w:p>
      <w:pPr>
        <w:spacing w:line="360" w:lineRule="auto"/>
        <w:jc w:val="both"/>
      </w:pPr>
      <w:r>
        <w:rPr>
          <w:rFonts w:ascii="Times New Roman" w:hAnsi="Times New Roman"/>
          <w:sz w:val="24"/>
        </w:rPr>
        <w:t>StoreDot is developing extreme fast charging (XFC) battery technology aimed at accelerating electric vehicle (EV) adoption by addressing key barriers such as charging time and infrastructure limitations. Their lithium-ion based batteries promise rapid charging (100 miles in 5 minutes), long cycle life (&gt;1200 XFC cycles without degradation), and compatibility with existing manufacturing lines, supporting scalability and cost-effectiveness. ESG considerations include sustainability efforts like cobalt reduction and a semi-solid, dry production approach, which may reduce environmental impact compared to traditional batteries. Socially, the technology targets reducing "charging anxiety," enhancing user experience and EV accessibility, while governance appears robust with experienced leadership and a strong patent portfolio. However, public information on their supply chain transparency, labor practices, and detailed environmental impact assessments is limited, and no recent ESG controversies or regulatory issues were found in available sources. Further data on lifecycle emissions and end-of-life battery recycling would strengthen ESG evaluation.</w:t>
      </w:r>
    </w:p>
    <w:p>
      <w:pPr>
        <w:spacing w:after="0"/>
      </w:pPr>
    </w:p>
    <w:p>
      <w:pPr>
        <w:spacing w:line="360" w:lineRule="auto" w:after="120"/>
        <w:jc w:val="both"/>
      </w:pPr>
      <w:r>
        <w:rPr>
          <w:rFonts w:ascii="Times New Roman" w:hAnsi="Times New Roman"/>
          <w:b/>
          <w:sz w:val="24"/>
        </w:rPr>
        <w:t>13. RISKS &amp; MITIGATIONS</w:t>
      </w:r>
    </w:p>
    <w:p>
      <w:pPr>
        <w:spacing w:line="360" w:lineRule="auto"/>
        <w:jc w:val="both"/>
      </w:pPr>
      <w:r>
        <w:rPr>
          <w:rFonts w:ascii="Times New Roman" w:hAnsi="Times New Roman"/>
          <w:sz w:val="24"/>
        </w:rPr>
        <w:t>Overall Risk Level: N/A</w:t>
      </w:r>
    </w:p>
    <w:p>
      <w:pPr>
        <w:spacing w:after="0"/>
      </w:pPr>
    </w:p>
    <w:p>
      <w:pPr>
        <w:spacing w:line="360" w:lineRule="auto" w:after="120"/>
        <w:jc w:val="both"/>
      </w:pPr>
      <w:r>
        <w:rPr>
          <w:rFonts w:ascii="Times New Roman" w:hAnsi="Times New Roman"/>
          <w:b/>
          <w:sz w:val="24"/>
        </w:rPr>
        <w:t>IDENTIFIED RISKS:</w:t>
      </w:r>
    </w:p>
    <w:p>
      <w:pPr>
        <w:spacing w:line="360" w:lineRule="auto"/>
        <w:jc w:val="both"/>
      </w:pPr>
      <w:r>
        <w:rPr>
          <w:rFonts w:ascii="Times New Roman" w:hAnsi="Times New Roman"/>
          <w:sz w:val="24"/>
        </w:rPr>
        <w:t>1. Market competition</w:t>
      </w:r>
    </w:p>
    <w:p>
      <w:pPr>
        <w:spacing w:line="360" w:lineRule="auto"/>
        <w:jc w:val="both"/>
      </w:pPr>
      <w:r>
        <w:rPr>
          <w:rFonts w:ascii="Times New Roman" w:hAnsi="Times New Roman"/>
          <w:sz w:val="24"/>
        </w:rPr>
        <w:t>2. Financial health</w:t>
      </w:r>
    </w:p>
    <w:p>
      <w:pPr>
        <w:spacing w:line="360" w:lineRule="auto"/>
        <w:jc w:val="both"/>
      </w:pPr>
      <w:r>
        <w:rPr>
          <w:rFonts w:ascii="Times New Roman" w:hAnsi="Times New Roman"/>
          <w:sz w:val="24"/>
        </w:rPr>
        <w:t>3. Regulatory risks</w:t>
      </w:r>
    </w:p>
    <w:p>
      <w:pPr>
        <w:spacing w:after="0"/>
      </w:pPr>
    </w:p>
    <w:p>
      <w:pPr>
        <w:spacing w:line="360" w:lineRule="auto" w:after="120"/>
        <w:jc w:val="both"/>
      </w:pPr>
      <w:r>
        <w:rPr>
          <w:rFonts w:ascii="Times New Roman" w:hAnsi="Times New Roman"/>
          <w:b/>
          <w:sz w:val="24"/>
        </w:rPr>
        <w:t>14. INVESTMENT &amp; EXIT STRATEGIES</w:t>
      </w:r>
    </w:p>
    <w:p>
      <w:pPr>
        <w:spacing w:line="360" w:lineRule="auto"/>
        <w:jc w:val="both"/>
      </w:pPr>
      <w:r>
        <w:rPr>
          <w:rFonts w:ascii="Times New Roman" w:hAnsi="Times New Roman"/>
          <w:sz w:val="24"/>
        </w:rPr>
        <w:t>Based on the information provided, StoreDot's extreme fast charging battery technology seems to have a strong potential for mass adoption in the EV market. The company's technology is scalable, proven, and has a significant lead over alternative solutions. Potential exit scenarios could include acquisition by major EV manufacturers looking to enhance their charging capabilities or an IPO once the technology is commercially ready in 2025. It is recommended to focus on building strategic partnerships with OEMs and continue to demonstrate the superiority of their technology to attract potential acquirers or investors. Additional information needed for a more detailed analysis includes financial projections, market penetration strategies, and competitive landscape analysis.</w:t>
      </w:r>
    </w:p>
    <w:p>
      <w:pPr>
        <w:spacing w:after="0"/>
      </w:pPr>
    </w:p>
    <w:p>
      <w:pPr>
        <w:spacing w:line="360" w:lineRule="auto" w:after="120"/>
        <w:jc w:val="both"/>
      </w:pPr>
      <w:r>
        <w:rPr>
          <w:rFonts w:ascii="Times New Roman" w:hAnsi="Times New Roman"/>
          <w:b/>
          <w:sz w:val="24"/>
        </w:rPr>
        <w:t>15. FOLLOW-UP QUESTIONS &amp; NEXT STEPS</w:t>
      </w:r>
    </w:p>
    <w:p>
      <w:pPr>
        <w:spacing w:line="360" w:lineRule="auto"/>
        <w:jc w:val="both"/>
      </w:pPr>
      <w:r>
        <w:rPr>
          <w:rFonts w:ascii="Times New Roman" w:hAnsi="Times New Roman"/>
          <w:sz w:val="24"/>
        </w:rPr>
        <w:t>- **Technology Validation &amp; IP**</w:t>
      </w:r>
    </w:p>
    <w:p>
      <w:pPr>
        <w:spacing w:line="360" w:lineRule="auto"/>
        <w:jc w:val="both"/>
      </w:pPr>
      <w:r>
        <w:rPr>
          <w:rFonts w:ascii="Times New Roman" w:hAnsi="Times New Roman"/>
          <w:sz w:val="24"/>
        </w:rPr>
        <w:t>- Request detailed third-party test reports validating the 10-minute charging claim and &gt;1200 cycle life under extreme fast charging conditions.</w:t>
      </w:r>
    </w:p>
    <w:p>
      <w:pPr>
        <w:spacing w:line="360" w:lineRule="auto"/>
        <w:jc w:val="both"/>
      </w:pPr>
      <w:r>
        <w:rPr>
          <w:rFonts w:ascii="Times New Roman" w:hAnsi="Times New Roman"/>
          <w:sz w:val="24"/>
        </w:rPr>
        <w:t>- Clarify the scope and strength of the 78 granted and 22 pending patents—are they primarily defensive or do they provide a strong competitive moat?</w:t>
      </w:r>
    </w:p>
    <w:p>
      <w:pPr>
        <w:spacing w:line="360" w:lineRule="auto"/>
        <w:jc w:val="both"/>
      </w:pPr>
      <w:r>
        <w:rPr>
          <w:rFonts w:ascii="Times New Roman" w:hAnsi="Times New Roman"/>
          <w:sz w:val="24"/>
        </w:rPr>
        <w:t>- Understand any potential IP infringement risks or ongoing disputes.</w:t>
      </w:r>
    </w:p>
    <w:p>
      <w:pPr>
        <w:spacing w:line="360" w:lineRule="auto"/>
        <w:jc w:val="both"/>
      </w:pPr>
      <w:r>
        <w:rPr>
          <w:rFonts w:ascii="Times New Roman" w:hAnsi="Times New Roman"/>
          <w:sz w:val="24"/>
        </w:rPr>
        <w:t>- **OEM &amp; Manufacturing Partnerships**</w:t>
      </w:r>
    </w:p>
    <w:p>
      <w:pPr>
        <w:spacing w:line="360" w:lineRule="auto"/>
        <w:jc w:val="both"/>
      </w:pPr>
      <w:r>
        <w:rPr>
          <w:rFonts w:ascii="Times New Roman" w:hAnsi="Times New Roman"/>
          <w:sz w:val="24"/>
        </w:rPr>
        <w:t>- Obtain a list of the &gt;15 OEMs and manufacturing partners currently testing the 100in5 cells, including stage of engagement and feedback.</w:t>
      </w:r>
    </w:p>
    <w:p>
      <w:pPr>
        <w:spacing w:line="360" w:lineRule="auto"/>
        <w:jc w:val="both"/>
      </w:pPr>
      <w:r>
        <w:rPr>
          <w:rFonts w:ascii="Times New Roman" w:hAnsi="Times New Roman"/>
          <w:sz w:val="24"/>
        </w:rPr>
        <w:t>- Confirm any signed commercial agreements or LOIs with OEMs and manufacturing partners.</w:t>
      </w:r>
    </w:p>
    <w:p>
      <w:pPr>
        <w:spacing w:line="360" w:lineRule="auto"/>
        <w:jc w:val="both"/>
      </w:pPr>
      <w:r>
        <w:rPr>
          <w:rFonts w:ascii="Times New Roman" w:hAnsi="Times New Roman"/>
          <w:sz w:val="24"/>
        </w:rPr>
        <w:t>- Assess the timeline and scale-up risks for production readiness in 2024 and beyond.</w:t>
      </w:r>
    </w:p>
    <w:p>
      <w:pPr>
        <w:spacing w:line="360" w:lineRule="auto"/>
        <w:jc w:val="both"/>
      </w:pPr>
      <w:r>
        <w:rPr>
          <w:rFonts w:ascii="Times New Roman" w:hAnsi="Times New Roman"/>
          <w:sz w:val="24"/>
        </w:rPr>
        <w:t>- **Technology Scalability &amp; Cost**</w:t>
      </w:r>
    </w:p>
    <w:p>
      <w:pPr>
        <w:spacing w:line="360" w:lineRule="auto"/>
        <w:jc w:val="both"/>
      </w:pPr>
      <w:r>
        <w:rPr>
          <w:rFonts w:ascii="Times New Roman" w:hAnsi="Times New Roman"/>
          <w:sz w:val="24"/>
        </w:rPr>
        <w:t>- Request detailed cost modeling and comparison versus incumbent Li-ion batteries and competing technologies.</w:t>
      </w:r>
    </w:p>
    <w:p>
      <w:pPr>
        <w:spacing w:line="360" w:lineRule="auto"/>
        <w:jc w:val="both"/>
      </w:pPr>
      <w:r>
        <w:rPr>
          <w:rFonts w:ascii="Times New Roman" w:hAnsi="Times New Roman"/>
          <w:sz w:val="24"/>
        </w:rPr>
        <w:t>- Clarify the extent of compatibility with existing Li-ion manufacturing lines and any required CAPEX investments for partners.</w:t>
      </w:r>
    </w:p>
    <w:p>
      <w:pPr>
        <w:spacing w:line="360" w:lineRule="auto"/>
        <w:jc w:val="both"/>
      </w:pPr>
      <w:r>
        <w:rPr>
          <w:rFonts w:ascii="Times New Roman" w:hAnsi="Times New Roman"/>
          <w:sz w:val="24"/>
        </w:rPr>
        <w:t>- Understand supply chain dependencies, especially for silicon anode materials and semi-solid components.</w:t>
      </w:r>
    </w:p>
    <w:p>
      <w:pPr>
        <w:spacing w:line="360" w:lineRule="auto"/>
        <w:jc w:val="both"/>
      </w:pPr>
      <w:r>
        <w:rPr>
          <w:rFonts w:ascii="Times New Roman" w:hAnsi="Times New Roman"/>
          <w:sz w:val="24"/>
        </w:rPr>
        <w:t>- **Competitive Landscape &amp; Differentiation**</w:t>
      </w:r>
    </w:p>
    <w:p>
      <w:pPr>
        <w:spacing w:line="360" w:lineRule="auto"/>
        <w:jc w:val="both"/>
      </w:pPr>
      <w:r>
        <w:rPr>
          <w:rFonts w:ascii="Times New Roman" w:hAnsi="Times New Roman"/>
          <w:sz w:val="24"/>
        </w:rPr>
        <w:t>- Get a detailed competitive analysis including emerging solid-state and semi-solid state battery startups, and how StoreDot’s roadmap aligns with or outpaces them.</w:t>
      </w:r>
    </w:p>
    <w:p>
      <w:pPr>
        <w:spacing w:line="360" w:lineRule="auto"/>
        <w:jc w:val="both"/>
      </w:pPr>
      <w:r>
        <w:rPr>
          <w:rFonts w:ascii="Times New Roman" w:hAnsi="Times New Roman"/>
          <w:sz w:val="24"/>
        </w:rPr>
        <w:t>- Clarify how StoreDot plans to maintain its 3-5 year lead given rapid advancements in battery tech.</w:t>
      </w:r>
    </w:p>
    <w:p>
      <w:pPr>
        <w:spacing w:line="360" w:lineRule="auto"/>
        <w:jc w:val="both"/>
      </w:pPr>
      <w:r>
        <w:rPr>
          <w:rFonts w:ascii="Times New Roman" w:hAnsi="Times New Roman"/>
          <w:sz w:val="24"/>
        </w:rPr>
        <w:t>- **Commercialization &amp; Go-to-Market**</w:t>
      </w:r>
    </w:p>
    <w:p>
      <w:pPr>
        <w:spacing w:line="360" w:lineRule="auto"/>
        <w:jc w:val="both"/>
      </w:pPr>
      <w:r>
        <w:rPr>
          <w:rFonts w:ascii="Times New Roman" w:hAnsi="Times New Roman"/>
          <w:sz w:val="24"/>
        </w:rPr>
        <w:t>- Understand StoreDot’s licensing model in detail—revenue share, exclusivity, geographic scope.</w:t>
      </w:r>
    </w:p>
    <w:p>
      <w:pPr>
        <w:spacing w:line="360" w:lineRule="auto"/>
        <w:jc w:val="both"/>
      </w:pPr>
      <w:r>
        <w:rPr>
          <w:rFonts w:ascii="Times New Roman" w:hAnsi="Times New Roman"/>
          <w:sz w:val="24"/>
        </w:rPr>
        <w:t>- Clarify plans for charging infrastructure partnerships or integration to address “charging anxiety” beyond battery tech.</w:t>
      </w:r>
    </w:p>
    <w:p>
      <w:pPr>
        <w:spacing w:line="360" w:lineRule="auto"/>
        <w:jc w:val="both"/>
      </w:pPr>
      <w:r>
        <w:rPr>
          <w:rFonts w:ascii="Times New Roman" w:hAnsi="Times New Roman"/>
          <w:sz w:val="24"/>
        </w:rPr>
        <w:t>- Assess regulatory or certification hurdles for automotive OEM adoption.</w:t>
      </w:r>
    </w:p>
    <w:p>
      <w:pPr>
        <w:spacing w:line="360" w:lineRule="auto"/>
        <w:jc w:val="both"/>
      </w:pPr>
      <w:r>
        <w:rPr>
          <w:rFonts w:ascii="Times New Roman" w:hAnsi="Times New Roman"/>
          <w:sz w:val="24"/>
        </w:rPr>
        <w:t>- **Financials &amp; Funding**</w:t>
      </w:r>
    </w:p>
    <w:p>
      <w:pPr>
        <w:spacing w:line="360" w:lineRule="auto"/>
        <w:jc w:val="both"/>
      </w:pPr>
      <w:r>
        <w:rPr>
          <w:rFonts w:ascii="Times New Roman" w:hAnsi="Times New Roman"/>
          <w:sz w:val="24"/>
        </w:rPr>
        <w:t>- Request current financials, burn rate, and runway.</w:t>
      </w:r>
    </w:p>
    <w:p>
      <w:pPr>
        <w:spacing w:line="360" w:lineRule="auto"/>
        <w:jc w:val="both"/>
      </w:pPr>
      <w:r>
        <w:rPr>
          <w:rFonts w:ascii="Times New Roman" w:hAnsi="Times New Roman"/>
          <w:sz w:val="24"/>
        </w:rPr>
        <w:t>- Understand funding history, current valuation, and planned use of proceeds.</w:t>
      </w:r>
    </w:p>
    <w:p>
      <w:pPr>
        <w:spacing w:line="360" w:lineRule="auto"/>
        <w:jc w:val="both"/>
      </w:pPr>
      <w:r>
        <w:rPr>
          <w:rFonts w:ascii="Times New Roman" w:hAnsi="Times New Roman"/>
          <w:sz w:val="24"/>
        </w:rPr>
        <w:t>- Clarify milestones tied to next funding rounds or commercial milestones.</w:t>
      </w:r>
    </w:p>
    <w:p>
      <w:pPr>
        <w:spacing w:line="360" w:lineRule="auto"/>
        <w:jc w:val="both"/>
      </w:pPr>
      <w:r>
        <w:rPr>
          <w:rFonts w:ascii="Times New Roman" w:hAnsi="Times New Roman"/>
          <w:sz w:val="24"/>
        </w:rPr>
        <w:t>- **Team &amp; Execution Risk**</w:t>
      </w:r>
    </w:p>
    <w:p>
      <w:pPr>
        <w:spacing w:line="360" w:lineRule="auto"/>
        <w:jc w:val="both"/>
      </w:pPr>
      <w:r>
        <w:rPr>
          <w:rFonts w:ascii="Times New Roman" w:hAnsi="Times New Roman"/>
          <w:sz w:val="24"/>
        </w:rPr>
        <w:t>- Deep dive on leadership and key technical team members’ track record in scaling battery technologies.</w:t>
      </w:r>
    </w:p>
    <w:p>
      <w:pPr>
        <w:spacing w:line="360" w:lineRule="auto"/>
        <w:jc w:val="both"/>
      </w:pPr>
      <w:r>
        <w:rPr>
          <w:rFonts w:ascii="Times New Roman" w:hAnsi="Times New Roman"/>
          <w:sz w:val="24"/>
        </w:rPr>
        <w:t>- Assess organizational readiness to manage scale-up and global partnerships.</w:t>
      </w:r>
    </w:p>
    <w:p>
      <w:pPr>
        <w:spacing w:line="360" w:lineRule="auto"/>
        <w:jc w:val="both"/>
      </w:pPr>
      <w:r>
        <w:rPr>
          <w:rFonts w:ascii="Times New Roman" w:hAnsi="Times New Roman"/>
          <w:sz w:val="24"/>
        </w:rPr>
        <w:t>- **Next Steps**</w:t>
      </w:r>
    </w:p>
    <w:p>
      <w:pPr>
        <w:spacing w:line="360" w:lineRule="auto"/>
        <w:jc w:val="both"/>
      </w:pPr>
      <w:r>
        <w:rPr>
          <w:rFonts w:ascii="Times New Roman" w:hAnsi="Times New Roman"/>
          <w:sz w:val="24"/>
        </w:rPr>
        <w:t>- Schedule technical deep dive with CTO and R&amp;D leads.</w:t>
      </w:r>
    </w:p>
    <w:p>
      <w:pPr>
        <w:spacing w:line="360" w:lineRule="auto"/>
        <w:jc w:val="both"/>
      </w:pPr>
      <w:r>
        <w:rPr>
          <w:rFonts w:ascii="Times New Roman" w:hAnsi="Times New Roman"/>
          <w:sz w:val="24"/>
        </w:rPr>
        <w:t>- Arrange reference calls with at least 2 OEM partners.</w:t>
      </w:r>
    </w:p>
    <w:p>
      <w:pPr>
        <w:spacing w:line="360" w:lineRule="auto"/>
        <w:jc w:val="both"/>
      </w:pPr>
      <w:r>
        <w:rPr>
          <w:rFonts w:ascii="Times New Roman" w:hAnsi="Times New Roman"/>
          <w:sz w:val="24"/>
        </w:rPr>
        <w:t>- Conduct IP due diligence with patent counsel.</w:t>
      </w:r>
    </w:p>
    <w:p>
      <w:pPr>
        <w:spacing w:line="360" w:lineRule="auto"/>
        <w:jc w:val="both"/>
      </w:pPr>
      <w:r>
        <w:rPr>
          <w:rFonts w:ascii="Times New Roman" w:hAnsi="Times New Roman"/>
          <w:sz w:val="24"/>
        </w:rPr>
        <w:t>- Review detailed financial model and commercialization plan.</w:t>
      </w:r>
    </w:p>
    <w:p>
      <w:pPr>
        <w:spacing w:line="360" w:lineRule="auto"/>
        <w:jc w:val="both"/>
      </w:pPr>
      <w:r>
        <w:rPr>
          <w:rFonts w:ascii="Times New Roman" w:hAnsi="Times New Roman"/>
          <w:sz w:val="24"/>
        </w:rPr>
        <w:t>- Plan site visit to pilot manufacturing or testing facility.</w:t>
      </w:r>
    </w:p>
    <w:p>
      <w:pPr>
        <w:spacing w:line="360" w:lineRule="auto"/>
        <w:jc w:val="both"/>
      </w:pPr>
      <w:r>
        <w:rPr>
          <w:rFonts w:ascii="Times New Roman" w:hAnsi="Times New Roman"/>
          <w:sz w:val="24"/>
        </w:rPr>
        <w:t>No follow-up questions if all above are satisfactorily addressed.</w:t>
      </w:r>
    </w:p>
    <w:p>
      <w:pPr>
        <w:spacing w:after="0"/>
      </w:pPr>
    </w:p>
    <w:p>
      <w:pPr>
        <w:spacing w:line="360" w:lineRule="auto" w:after="120"/>
        <w:jc w:val="both"/>
      </w:pPr>
      <w:r>
        <w:rPr>
          <w:rFonts w:ascii="Times New Roman" w:hAnsi="Times New Roman"/>
          <w:b/>
          <w:sz w:val="24"/>
        </w:rPr>
        <w:t>16. FIGURES &amp; VISUALS</w:t>
      </w:r>
    </w:p>
    <w:p>
      <w:pPr>
        <w:spacing w:after="0"/>
      </w:pPr>
    </w:p>
    <w:p>
      <w:pPr>
        <w:spacing w:line="360" w:lineRule="auto" w:after="120"/>
        <w:jc w:val="both"/>
      </w:pPr>
      <w:r>
        <w:rPr>
          <w:rFonts w:ascii="Times New Roman" w:hAnsi="Times New Roman"/>
          <w:b/>
          <w:sz w:val="24"/>
        </w:rPr>
        <w:t>17. APPENDIX: ADDITIONAL TABLES</w:t>
      </w:r>
    </w:p>
    <w:p>
      <w:pPr>
        <w:spacing w:after="0"/>
      </w:pPr>
    </w:p>
    <w:p>
      <w:pPr>
        <w:spacing w:line="360" w:lineRule="auto" w:after="120"/>
        <w:jc w:val="both"/>
      </w:pPr>
      <w:r>
        <w:rPr>
          <w:rFonts w:ascii="Times New Roman" w:hAnsi="Times New Roman"/>
          <w:b/>
          <w:sz w:val="24"/>
        </w:rPr>
        <w:t>18. DISCUSSION &amp; ANALYST COMMENTARY</w:t>
      </w:r>
    </w:p>
    <w:p>
      <w:pPr>
        <w:spacing w:line="360" w:lineRule="auto"/>
        <w:jc w:val="both"/>
      </w:pPr>
      <w:r>
        <w:rPr>
          <w:rFonts w:ascii="Times New Roman" w:hAnsi="Times New Roman"/>
          <w:sz w:val="24"/>
        </w:rPr>
        <w:t>**Analyst Commentary on StoreDot Investment Memo**</w:t>
      </w:r>
    </w:p>
    <w:p>
      <w:pPr>
        <w:spacing w:line="360" w:lineRule="auto"/>
        <w:jc w:val="both"/>
      </w:pPr>
      <w:r>
        <w:rPr>
          <w:rFonts w:ascii="Times New Roman" w:hAnsi="Times New Roman"/>
          <w:sz w:val="24"/>
        </w:rPr>
        <w:t>---</w:t>
      </w:r>
    </w:p>
    <w:p>
      <w:pPr>
        <w:spacing w:line="360" w:lineRule="auto"/>
        <w:jc w:val="both"/>
      </w:pPr>
      <w:r>
        <w:rPr>
          <w:rFonts w:ascii="Times New Roman" w:hAnsi="Times New Roman"/>
          <w:sz w:val="24"/>
        </w:rPr>
        <w:t>### Key Strengths</w:t>
      </w:r>
    </w:p>
    <w:p>
      <w:pPr>
        <w:spacing w:line="360" w:lineRule="auto"/>
        <w:jc w:val="both"/>
      </w:pPr>
      <w:r>
        <w:rPr>
          <w:rFonts w:ascii="Times New Roman" w:hAnsi="Times New Roman"/>
          <w:sz w:val="24"/>
        </w:rPr>
        <w:t>- **Technology Lead &amp; Differentiation:** StoreDot claims a 3-5 year lead in extreme fast charging (XFC) lithium-ion batteries, enabling 100 miles of range in 5-10 minutes with &gt;1200 fast charge cycles and no degradation. This is a significant breakthrough addressing a critical EV adoption barrier—charging time and range anxiety.</w:t>
      </w:r>
    </w:p>
    <w:p>
      <w:pPr>
        <w:spacing w:line="360" w:lineRule="auto"/>
        <w:jc w:val="both"/>
      </w:pPr>
      <w:r>
        <w:rPr>
          <w:rFonts w:ascii="Times New Roman" w:hAnsi="Times New Roman"/>
          <w:sz w:val="24"/>
        </w:rPr>
        <w:t>- **Proprietary Silicon-Dominant Anode &amp; IP Portfolio:** The silicon-dominant anode technology is compatible with existing Li-ion manufacturing lines, facilitating scalability and reducing CAPEX for partners. The company holds 78 granted US patents and 22 pending, indicating a strong IP moat, though further clarity on patent scope is needed.</w:t>
      </w:r>
    </w:p>
    <w:p>
      <w:pPr>
        <w:spacing w:line="360" w:lineRule="auto"/>
        <w:jc w:val="both"/>
      </w:pPr>
      <w:r>
        <w:rPr>
          <w:rFonts w:ascii="Times New Roman" w:hAnsi="Times New Roman"/>
          <w:sz w:val="24"/>
        </w:rPr>
        <w:t>- **Strong OEM Partnerships:** Engagement with over 15 OEMs and manufacturing partners globally suggests early market validation and potential for rapid commercial adoption.</w:t>
      </w:r>
    </w:p>
    <w:p>
      <w:pPr>
        <w:spacing w:line="360" w:lineRule="auto"/>
        <w:jc w:val="both"/>
      </w:pPr>
      <w:r>
        <w:rPr>
          <w:rFonts w:ascii="Times New Roman" w:hAnsi="Times New Roman"/>
          <w:sz w:val="24"/>
        </w:rPr>
        <w:t>- **Clear Commercial Readiness Timeline:** Targeting commercial readiness by 2025 aligns well with accelerating EV market demand and OEM electrification roadmaps.</w:t>
      </w:r>
    </w:p>
    <w:p>
      <w:pPr>
        <w:spacing w:line="360" w:lineRule="auto"/>
        <w:jc w:val="both"/>
      </w:pPr>
      <w:r>
        <w:rPr>
          <w:rFonts w:ascii="Times New Roman" w:hAnsi="Times New Roman"/>
          <w:sz w:val="24"/>
        </w:rPr>
        <w:t>- **Sustainability &amp; ESG Alignment:** Efforts to reduce cobalt use and employ semi-solid, dry production methods indicate environmental consciousness, which is increasingly important for investors and OEMs.</w:t>
      </w:r>
    </w:p>
    <w:p>
      <w:pPr>
        <w:spacing w:line="360" w:lineRule="auto"/>
        <w:jc w:val="both"/>
      </w:pPr>
      <w:r>
        <w:rPr>
          <w:rFonts w:ascii="Times New Roman" w:hAnsi="Times New Roman"/>
          <w:sz w:val="24"/>
        </w:rPr>
        <w:t>### Key Weaknesses</w:t>
      </w:r>
    </w:p>
    <w:p>
      <w:pPr>
        <w:spacing w:line="360" w:lineRule="auto"/>
        <w:jc w:val="both"/>
      </w:pPr>
      <w:r>
        <w:rPr>
          <w:rFonts w:ascii="Times New Roman" w:hAnsi="Times New Roman"/>
          <w:sz w:val="24"/>
        </w:rPr>
        <w:t>- **Lack of Financial Transparency:** No financial data, funding stage, burn rate, or valuation disclosed, limiting assessment of financial health, runway, and capital efficiency.</w:t>
      </w:r>
    </w:p>
    <w:p>
      <w:pPr>
        <w:spacing w:line="360" w:lineRule="auto"/>
        <w:jc w:val="both"/>
      </w:pPr>
      <w:r>
        <w:rPr>
          <w:rFonts w:ascii="Times New Roman" w:hAnsi="Times New Roman"/>
          <w:sz w:val="24"/>
        </w:rPr>
        <w:t>- **Limited Independent Validation:** Performance claims (charging speed, cycle life, degradation) lack third-party verification, raising execution and technical risk.</w:t>
      </w:r>
    </w:p>
    <w:p>
      <w:pPr>
        <w:spacing w:line="360" w:lineRule="auto"/>
        <w:jc w:val="both"/>
      </w:pPr>
      <w:r>
        <w:rPr>
          <w:rFonts w:ascii="Times New Roman" w:hAnsi="Times New Roman"/>
          <w:sz w:val="24"/>
        </w:rPr>
        <w:t>- **Sparse Competitive Analysis:** The memo lists competitors but lacks detailed strengths/weaknesses or differentiation analysis, making it difficult to assess StoreDot’s sustainable competitive advantage.</w:t>
      </w:r>
    </w:p>
    <w:p>
      <w:pPr>
        <w:spacing w:line="360" w:lineRule="auto"/>
        <w:jc w:val="both"/>
      </w:pPr>
      <w:r>
        <w:rPr>
          <w:rFonts w:ascii="Times New Roman" w:hAnsi="Times New Roman"/>
          <w:sz w:val="24"/>
        </w:rPr>
        <w:t>- **Unclear Commercial Agreements:** No confirmation of signed contracts or LOIs with OEMs; partnerships may be at pilot or exploratory stages, which carries execution risk.</w:t>
      </w:r>
    </w:p>
    <w:p>
      <w:pPr>
        <w:spacing w:line="360" w:lineRule="auto"/>
        <w:jc w:val="both"/>
      </w:pPr>
      <w:r>
        <w:rPr>
          <w:rFonts w:ascii="Times New Roman" w:hAnsi="Times New Roman"/>
          <w:sz w:val="24"/>
        </w:rPr>
        <w:t>- **Market Size Metrics Ambiguity:** TAM, SAM, SOM figures ($120K, $35K, $5K) appear inconsistent or incomplete—likely a formatting or unit error—hindering market opportunity assessment.</w:t>
      </w:r>
    </w:p>
    <w:p>
      <w:pPr>
        <w:spacing w:line="360" w:lineRule="auto"/>
        <w:jc w:val="both"/>
      </w:pPr>
      <w:r>
        <w:rPr>
          <w:rFonts w:ascii="Times New Roman" w:hAnsi="Times New Roman"/>
          <w:sz w:val="24"/>
        </w:rPr>
        <w:t>### Opportunities</w:t>
      </w:r>
    </w:p>
    <w:p>
      <w:pPr>
        <w:spacing w:line="360" w:lineRule="auto"/>
        <w:jc w:val="both"/>
      </w:pPr>
      <w:r>
        <w:rPr>
          <w:rFonts w:ascii="Times New Roman" w:hAnsi="Times New Roman"/>
          <w:sz w:val="24"/>
        </w:rPr>
        <w:t>- **Mass EV Adoption Catalyst:** By solving charging time constraints, StoreDot can unlock latent demand in EV markets, potentially accelerating OEM electrification and infrastructure investments.</w:t>
      </w:r>
    </w:p>
    <w:p>
      <w:pPr>
        <w:spacing w:line="360" w:lineRule="auto"/>
        <w:jc w:val="both"/>
      </w:pPr>
      <w:r>
        <w:rPr>
          <w:rFonts w:ascii="Times New Roman" w:hAnsi="Times New Roman"/>
          <w:sz w:val="24"/>
        </w:rPr>
        <w:t>- **Licensing Model Scalability:** Licensing drop-in compatible tech to multiple OEMs and manufacturers can generate recurring revenue with lower capital intensity.</w:t>
      </w:r>
    </w:p>
    <w:p>
      <w:pPr>
        <w:spacing w:line="360" w:lineRule="auto"/>
        <w:jc w:val="both"/>
      </w:pPr>
      <w:r>
        <w:rPr>
          <w:rFonts w:ascii="Times New Roman" w:hAnsi="Times New Roman"/>
          <w:sz w:val="24"/>
        </w:rPr>
        <w:t>- **Technology Roadmap:** Development of semi-solid and post-lithium batteries for 2028 and 2032 suggests long-term innovation pipeline, potentially extending market leadership.</w:t>
      </w:r>
    </w:p>
    <w:p>
      <w:pPr>
        <w:spacing w:line="360" w:lineRule="auto"/>
        <w:jc w:val="both"/>
      </w:pPr>
      <w:r>
        <w:rPr>
          <w:rFonts w:ascii="Times New Roman" w:hAnsi="Times New Roman"/>
          <w:sz w:val="24"/>
        </w:rPr>
        <w:t>- **Strategic Exits:** Potential acquisition by major OEMs or battery manufacturers seeking XFC capabilities or IPO once commercial readiness is demonstrated.</w:t>
      </w:r>
    </w:p>
    <w:p>
      <w:pPr>
        <w:spacing w:line="360" w:lineRule="auto"/>
        <w:jc w:val="both"/>
      </w:pPr>
      <w:r>
        <w:rPr>
          <w:rFonts w:ascii="Times New Roman" w:hAnsi="Times New Roman"/>
          <w:sz w:val="24"/>
        </w:rPr>
        <w:t>### Risks</w:t>
      </w:r>
    </w:p>
    <w:p>
      <w:pPr>
        <w:spacing w:line="360" w:lineRule="auto"/>
        <w:jc w:val="both"/>
      </w:pPr>
      <w:r>
        <w:rPr>
          <w:rFonts w:ascii="Times New Roman" w:hAnsi="Times New Roman"/>
          <w:sz w:val="24"/>
        </w:rPr>
        <w:t>- **Technology Execution Risk:** Scaling from pilot to mass production by 2025 is challenging; any delays or performance shortfalls could erode first-mover advantage.</w:t>
      </w:r>
    </w:p>
    <w:p>
      <w:pPr>
        <w:spacing w:line="360" w:lineRule="auto"/>
        <w:jc w:val="both"/>
      </w:pPr>
      <w:r>
        <w:rPr>
          <w:rFonts w:ascii="Times New Roman" w:hAnsi="Times New Roman"/>
          <w:sz w:val="24"/>
        </w:rPr>
        <w:t>- **Competitive Disruption:** Rapid advancements in solid-state and alternative battery chemistries (e.g., QuantumScape, Solid Power) could narrow or eliminate StoreDot’s lead.</w:t>
      </w:r>
    </w:p>
    <w:p>
      <w:pPr>
        <w:spacing w:line="360" w:lineRule="auto"/>
        <w:jc w:val="both"/>
      </w:pPr>
      <w:r>
        <w:rPr>
          <w:rFonts w:ascii="Times New Roman" w:hAnsi="Times New Roman"/>
          <w:sz w:val="24"/>
        </w:rPr>
        <w:t>- **Supply Chain &amp; Material Risks:** Silicon anode and semi-solid components may have supply constraints or cost volatility, impacting margins and scalability.</w:t>
      </w:r>
    </w:p>
    <w:p>
      <w:pPr>
        <w:spacing w:line="360" w:lineRule="auto"/>
        <w:jc w:val="both"/>
      </w:pPr>
      <w:r>
        <w:rPr>
          <w:rFonts w:ascii="Times New Roman" w:hAnsi="Times New Roman"/>
          <w:sz w:val="24"/>
        </w:rPr>
        <w:t>- **Regulatory &amp; Certification Hurdles:** Automotive OEM adoption requires rigorous safety and performance certifications, which can delay commercialization.</w:t>
      </w:r>
    </w:p>
    <w:p>
      <w:pPr>
        <w:spacing w:line="360" w:lineRule="auto"/>
        <w:jc w:val="both"/>
      </w:pPr>
      <w:r>
        <w:rPr>
          <w:rFonts w:ascii="Times New Roman" w:hAnsi="Times New Roman"/>
          <w:sz w:val="24"/>
        </w:rPr>
        <w:t>- **Financial &amp; Funding Risk:** Without disclosed financials, risk of insufficient capital to scale or sustain R&amp;D exists.</w:t>
      </w:r>
    </w:p>
    <w:p>
      <w:pPr>
        <w:spacing w:line="360" w:lineRule="auto"/>
        <w:jc w:val="both"/>
      </w:pPr>
      <w:r>
        <w:rPr>
          <w:rFonts w:ascii="Times New Roman" w:hAnsi="Times New Roman"/>
          <w:sz w:val="24"/>
        </w:rPr>
        <w:t>### Actionable Recommendations for Investors</w:t>
      </w:r>
    </w:p>
    <w:p>
      <w:pPr>
        <w:spacing w:line="360" w:lineRule="auto"/>
        <w:jc w:val="both"/>
      </w:pPr>
      <w:r>
        <w:rPr>
          <w:rFonts w:ascii="Times New Roman" w:hAnsi="Times New Roman"/>
          <w:sz w:val="24"/>
        </w:rPr>
        <w:t>1. **Demand Third-Party Technical Validation:** Insist on independent test data confirming charging speed, cycle life, safety, and degradation claims before committing capital.</w:t>
      </w:r>
    </w:p>
    <w:p>
      <w:pPr>
        <w:spacing w:line="360" w:lineRule="auto"/>
        <w:jc w:val="both"/>
      </w:pPr>
      <w:r>
        <w:rPr>
          <w:rFonts w:ascii="Times New Roman" w:hAnsi="Times New Roman"/>
          <w:sz w:val="24"/>
        </w:rPr>
        <w:t>2. **Clarify OEM Partnership Status:** Obtain signed agreements or binding LOIs with OEMs and manufacturing partners to validate commercial traction and revenue visibility.</w:t>
      </w:r>
    </w:p>
    <w:p>
      <w:pPr>
        <w:spacing w:line="360" w:lineRule="auto"/>
        <w:jc w:val="both"/>
      </w:pPr>
      <w:r>
        <w:rPr>
          <w:rFonts w:ascii="Times New Roman" w:hAnsi="Times New Roman"/>
          <w:sz w:val="24"/>
        </w:rPr>
        <w:t>3. **Request Detailed Financials &amp; Funding Plan:** Evaluate burn rate, runway, valuation, and capital needs to assess financial sustainability and dilution risk.</w:t>
      </w:r>
    </w:p>
    <w:p>
      <w:pPr>
        <w:spacing w:line="360" w:lineRule="auto"/>
        <w:jc w:val="both"/>
      </w:pPr>
      <w:r>
        <w:rPr>
          <w:rFonts w:ascii="Times New Roman" w:hAnsi="Times New Roman"/>
          <w:sz w:val="24"/>
        </w:rPr>
        <w:t>4. **Conduct Competitive Benchmarking:** Commission a thorough competitive landscape analysis focusing on technology differentiation, roadmap, and IP strength.</w:t>
      </w:r>
    </w:p>
    <w:p>
      <w:pPr>
        <w:spacing w:line="360" w:lineRule="auto"/>
        <w:jc w:val="both"/>
      </w:pPr>
      <w:r>
        <w:rPr>
          <w:rFonts w:ascii="Times New Roman" w:hAnsi="Times New Roman"/>
          <w:sz w:val="24"/>
        </w:rPr>
        <w:t>5. **Assess Supply Chain Robustness:** Review sourcing strategies for silicon anode materials and semi-solid components to identify bottlenecks or cost risks.</w:t>
      </w:r>
    </w:p>
    <w:p>
      <w:pPr>
        <w:spacing w:line="360" w:lineRule="auto"/>
        <w:jc w:val="both"/>
      </w:pPr>
      <w:r>
        <w:rPr>
          <w:rFonts w:ascii="Times New Roman" w:hAnsi="Times New Roman"/>
          <w:sz w:val="24"/>
        </w:rPr>
        <w:t>6. **Engage in ESG Due Diligence:** Seek comprehensive lifecycle assessments and supply chain transparency to confirm sustainability claims.</w:t>
      </w:r>
    </w:p>
    <w:p>
      <w:pPr>
        <w:spacing w:line="360" w:lineRule="auto"/>
        <w:jc w:val="both"/>
      </w:pPr>
      <w:r>
        <w:rPr>
          <w:rFonts w:ascii="Times New Roman" w:hAnsi="Times New Roman"/>
          <w:sz w:val="24"/>
        </w:rPr>
        <w:t>7. **Monitor Regulatory &amp; Certification Progress:** Track OEM certification milestones and regulatory approvals critical for market entry.</w:t>
      </w:r>
    </w:p>
    <w:p>
      <w:pPr>
        <w:spacing w:line="360" w:lineRule="auto"/>
        <w:jc w:val="both"/>
      </w:pPr>
      <w:r>
        <w:rPr>
          <w:rFonts w:ascii="Times New Roman" w:hAnsi="Times New Roman"/>
          <w:sz w:val="24"/>
        </w:rPr>
        <w:t>8. **Plan for Exit Scenarios:** Align investment horizon with StoreDot’s 2025 commercial readiness and potential strategic acquisition or IPO windows.</w:t>
      </w:r>
    </w:p>
    <w:p>
      <w:pPr>
        <w:spacing w:line="360" w:lineRule="auto"/>
        <w:jc w:val="both"/>
      </w:pPr>
      <w:r>
        <w:rPr>
          <w:rFonts w:ascii="Times New Roman" w:hAnsi="Times New Roman"/>
          <w:sz w:val="24"/>
        </w:rPr>
        <w:t>### Summary</w:t>
      </w:r>
    </w:p>
    <w:p>
      <w:pPr>
        <w:spacing w:line="360" w:lineRule="auto"/>
        <w:jc w:val="both"/>
      </w:pPr>
      <w:r>
        <w:rPr>
          <w:rFonts w:ascii="Times New Roman" w:hAnsi="Times New Roman"/>
          <w:sz w:val="24"/>
        </w:rPr>
        <w:t>StoreDot presents a compelling deep-tech opportunity addressing a pivotal EV adoption barrier with promising technology and early OEM engagement. However, significant information gaps—particularly around financials, independent validation, and commercial agreements—introduce material execution and market risks. Investors should adopt a cautious, milestone-driven approach, prioritizing technical and commercial due diligence before deployment of capital. If StoreDot can substantiate its claims and secure firm OEM commitments, it stands to be a transformative player in the EV battery ecosystem.</w:t>
      </w:r>
    </w:p>
    <w:p>
      <w:pPr>
        <w:spacing w:line="360" w:lineRule="auto"/>
        <w:jc w:val="both"/>
      </w:pPr>
      <w:r>
        <w:rPr>
          <w:rFonts w:ascii="Times New Roman" w:hAnsi="Times New Roman"/>
          <w:sz w:val="24"/>
        </w:rPr>
        <w:t>Generated by VC Analysis System on July 13, 2025</w:t>
      </w:r>
    </w:p>
    <w:p>
      <w:pPr>
        <w:spacing w:line="360" w:lineRule="auto"/>
        <w:jc w:val="both"/>
      </w:pPr>
      <w:r>
        <w:rPr>
          <w:rFonts w:ascii="Times New Roman" w:hAnsi="Times New Roman"/>
          <w:sz w:val="24"/>
        </w:rPr>
        <w:t>Data Sources: Company documents, market research, competitive intelligence, technical analysis</w:t>
      </w:r>
    </w:p>
    <w:p>
      <w:pPr>
        <w:spacing w:line="360" w:lineRule="auto"/>
        <w:jc w:val="both"/>
      </w:pPr>
      <w:r>
        <w:rPr>
          <w:rFonts w:ascii="Times New Roman" w:hAnsi="Times New Roman"/>
          <w:sz w:val="24"/>
        </w:rPr>
        <w:t>Analysis Framework: Multi-agent AI system with specialized domain expertise</w:t>
      </w:r>
    </w:p>
    <w:sectPr w:rsidR="00FE612B" w:rsidRPr="00C802F8" w:rsidSect="00830FE5">
      <w:headerReference w:type="default" r:id="rId9"/>
      <w:pgSz w:w="11906" w:h="16838"/>
      <w:pgMar w:top="1440" w:right="1440" w:bottom="1440" w:left="1440" w:header="964" w:footer="113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35E6A1" w14:textId="77777777" w:rsidR="0011491F" w:rsidRDefault="0011491F">
      <w:r>
        <w:separator/>
      </w:r>
    </w:p>
  </w:endnote>
  <w:endnote w:type="continuationSeparator" w:id="0">
    <w:p w14:paraId="7DE6D129" w14:textId="77777777" w:rsidR="0011491F" w:rsidRDefault="0011491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Cambria">
    <w:panose1 w:val="02040503050406030204"/>
    <w:charset w:val="CC"/>
    <w:family w:val="roman"/>
    <w:pitch w:val="variable"/>
    <w:sig w:usb0="E00006FF" w:usb1="420024FF" w:usb2="02000000" w:usb3="00000000" w:csb0="0000019F" w:csb1="00000000"/>
  </w:font>
  <w:font w:name="Calibri">
    <w:panose1 w:val="020F0502020204030204"/>
    <w:charset w:val="CC"/>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CD5C8" w14:textId="77777777" w:rsidR="0011491F" w:rsidRDefault="0011491F">
      <w:r>
        <w:separator/>
      </w:r>
    </w:p>
  </w:footnote>
  <w:footnote w:type="continuationSeparator" w:id="0">
    <w:p w14:paraId="51781609" w14:textId="77777777" w:rsidR="0011491F" w:rsidRDefault="0011491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D8886" w14:textId="638C375B" w:rsidR="00982DE1" w:rsidRPr="00830FE5" w:rsidRDefault="00830FE5" w:rsidP="00830FE5">
    <w:pPr>
      <w:pStyle w:val="Header"/>
      <w:ind w:left="4153" w:firstLine="3767"/>
    </w:pPr>
    <w:r>
      <w:rPr>
        <w:noProof/>
      </w:rPr>
      <w:drawing>
        <wp:anchor distT="0" distB="0" distL="114300" distR="114300" simplePos="0" relativeHeight="251658240" behindDoc="0" locked="0" layoutInCell="1" allowOverlap="1" wp14:anchorId="7D1B590A" wp14:editId="6D710E21">
          <wp:simplePos x="0" y="0"/>
          <wp:positionH relativeFrom="column">
            <wp:posOffset>-828675</wp:posOffset>
          </wp:positionH>
          <wp:positionV relativeFrom="paragraph">
            <wp:posOffset>-713740</wp:posOffset>
          </wp:positionV>
          <wp:extent cx="2228850" cy="1485900"/>
          <wp:effectExtent l="0" t="0" r="0" b="0"/>
          <wp:wrapThrough wrapText="bothSides">
            <wp:wrapPolygon edited="0">
              <wp:start x="3569" y="7385"/>
              <wp:lineTo x="2708" y="8677"/>
              <wp:lineTo x="2092" y="9969"/>
              <wp:lineTo x="2215" y="11631"/>
              <wp:lineTo x="3200" y="13662"/>
              <wp:lineTo x="3692" y="14031"/>
              <wp:lineTo x="5292" y="14031"/>
              <wp:lineTo x="5292" y="13662"/>
              <wp:lineTo x="17231" y="12554"/>
              <wp:lineTo x="17354" y="10708"/>
              <wp:lineTo x="19323" y="10708"/>
              <wp:lineTo x="19200" y="8677"/>
              <wp:lineTo x="5292" y="7385"/>
              <wp:lineTo x="3569" y="7385"/>
            </wp:wrapPolygon>
          </wp:wrapThrough>
          <wp:docPr id="2306303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630311" name="Picture 230630311"/>
                  <pic:cNvPicPr/>
                </pic:nvPicPr>
                <pic:blipFill>
                  <a:blip r:embed="rId1">
                    <a:extLst>
                      <a:ext uri="{28A0092B-C50C-407E-A947-70E740481C1C}">
                        <a14:useLocalDpi xmlns:a14="http://schemas.microsoft.com/office/drawing/2010/main" val="0"/>
                      </a:ext>
                    </a:extLst>
                  </a:blip>
                  <a:stretch>
                    <a:fillRect/>
                  </a:stretch>
                </pic:blipFill>
                <pic:spPr>
                  <a:xfrm>
                    <a:off x="0" y="0"/>
                    <a:ext cx="2228850" cy="1485900"/>
                  </a:xfrm>
                  <a:prstGeom prst="rect">
                    <a:avLst/>
                  </a:prstGeom>
                </pic:spPr>
              </pic:pic>
            </a:graphicData>
          </a:graphic>
          <wp14:sizeRelH relativeFrom="page">
            <wp14:pctWidth>0</wp14:pctWidth>
          </wp14:sizeRelH>
          <wp14:sizeRelV relativeFrom="page">
            <wp14:pctHeight>0</wp14:pctHeight>
          </wp14:sizeRelV>
        </wp:anchor>
      </w:drawing>
    </w:r>
    <w:r>
      <w:t xml:space="preserve">   B253500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748A4"/>
    <w:multiLevelType w:val="hybridMultilevel"/>
    <w:tmpl w:val="F8CEA3CC"/>
    <w:lvl w:ilvl="0" w:tplc="000F0409">
      <w:start w:val="1"/>
      <w:numFmt w:val="decimal"/>
      <w:lvlText w:val="%1."/>
      <w:lvlJc w:val="left"/>
      <w:pPr>
        <w:tabs>
          <w:tab w:val="num" w:pos="360"/>
        </w:tabs>
        <w:ind w:left="360" w:hanging="360"/>
      </w:pPr>
    </w:lvl>
    <w:lvl w:ilvl="1" w:tplc="00190409" w:tentative="1">
      <w:start w:val="1"/>
      <w:numFmt w:val="lowerLetter"/>
      <w:lvlText w:val="%2."/>
      <w:lvlJc w:val="left"/>
      <w:pPr>
        <w:tabs>
          <w:tab w:val="num" w:pos="1080"/>
        </w:tabs>
        <w:ind w:left="1080" w:hanging="360"/>
      </w:pPr>
    </w:lvl>
    <w:lvl w:ilvl="2" w:tplc="001B0409" w:tentative="1">
      <w:start w:val="1"/>
      <w:numFmt w:val="lowerRoman"/>
      <w:lvlText w:val="%3."/>
      <w:lvlJc w:val="right"/>
      <w:pPr>
        <w:tabs>
          <w:tab w:val="num" w:pos="1800"/>
        </w:tabs>
        <w:ind w:left="1800" w:hanging="180"/>
      </w:pPr>
    </w:lvl>
    <w:lvl w:ilvl="3" w:tplc="000F0409" w:tentative="1">
      <w:start w:val="1"/>
      <w:numFmt w:val="decimal"/>
      <w:lvlText w:val="%4."/>
      <w:lvlJc w:val="left"/>
      <w:pPr>
        <w:tabs>
          <w:tab w:val="num" w:pos="2520"/>
        </w:tabs>
        <w:ind w:left="2520" w:hanging="360"/>
      </w:pPr>
    </w:lvl>
    <w:lvl w:ilvl="4" w:tplc="00190409" w:tentative="1">
      <w:start w:val="1"/>
      <w:numFmt w:val="lowerLetter"/>
      <w:lvlText w:val="%5."/>
      <w:lvlJc w:val="left"/>
      <w:pPr>
        <w:tabs>
          <w:tab w:val="num" w:pos="3240"/>
        </w:tabs>
        <w:ind w:left="3240" w:hanging="360"/>
      </w:pPr>
    </w:lvl>
    <w:lvl w:ilvl="5" w:tplc="001B0409" w:tentative="1">
      <w:start w:val="1"/>
      <w:numFmt w:val="lowerRoman"/>
      <w:lvlText w:val="%6."/>
      <w:lvlJc w:val="right"/>
      <w:pPr>
        <w:tabs>
          <w:tab w:val="num" w:pos="3960"/>
        </w:tabs>
        <w:ind w:left="3960" w:hanging="180"/>
      </w:pPr>
    </w:lvl>
    <w:lvl w:ilvl="6" w:tplc="000F0409" w:tentative="1">
      <w:start w:val="1"/>
      <w:numFmt w:val="decimal"/>
      <w:lvlText w:val="%7."/>
      <w:lvlJc w:val="left"/>
      <w:pPr>
        <w:tabs>
          <w:tab w:val="num" w:pos="4680"/>
        </w:tabs>
        <w:ind w:left="4680" w:hanging="360"/>
      </w:pPr>
    </w:lvl>
    <w:lvl w:ilvl="7" w:tplc="00190409" w:tentative="1">
      <w:start w:val="1"/>
      <w:numFmt w:val="lowerLetter"/>
      <w:lvlText w:val="%8."/>
      <w:lvlJc w:val="left"/>
      <w:pPr>
        <w:tabs>
          <w:tab w:val="num" w:pos="5400"/>
        </w:tabs>
        <w:ind w:left="5400" w:hanging="360"/>
      </w:pPr>
    </w:lvl>
    <w:lvl w:ilvl="8" w:tplc="001B0409" w:tentative="1">
      <w:start w:val="1"/>
      <w:numFmt w:val="lowerRoman"/>
      <w:lvlText w:val="%9."/>
      <w:lvlJc w:val="right"/>
      <w:pPr>
        <w:tabs>
          <w:tab w:val="num" w:pos="6120"/>
        </w:tabs>
        <w:ind w:left="6120" w:hanging="180"/>
      </w:pPr>
    </w:lvl>
  </w:abstractNum>
  <w:abstractNum w:abstractNumId="1" w15:restartNumberingAfterBreak="0">
    <w:nsid w:val="13316D0E"/>
    <w:multiLevelType w:val="hybridMultilevel"/>
    <w:tmpl w:val="16DEADD6"/>
    <w:lvl w:ilvl="0" w:tplc="00010409">
      <w:start w:val="1"/>
      <w:numFmt w:val="bullet"/>
      <w:lvlText w:val=""/>
      <w:lvlJc w:val="left"/>
      <w:pPr>
        <w:tabs>
          <w:tab w:val="num" w:pos="360"/>
        </w:tabs>
        <w:ind w:left="360" w:hanging="360"/>
      </w:pPr>
      <w:rPr>
        <w:rFonts w:ascii="Symbol" w:hAnsi="Symbol" w:hint="default"/>
      </w:rPr>
    </w:lvl>
    <w:lvl w:ilvl="1" w:tplc="00030409">
      <w:start w:val="1"/>
      <w:numFmt w:val="bullet"/>
      <w:lvlText w:val="o"/>
      <w:lvlJc w:val="left"/>
      <w:pPr>
        <w:tabs>
          <w:tab w:val="num" w:pos="1080"/>
        </w:tabs>
        <w:ind w:left="1080" w:hanging="360"/>
      </w:pPr>
      <w:rPr>
        <w:rFonts w:ascii="Courier New" w:hAnsi="Courier New" w:hint="default"/>
      </w:rPr>
    </w:lvl>
    <w:lvl w:ilvl="2" w:tplc="00050409" w:tentative="1">
      <w:start w:val="1"/>
      <w:numFmt w:val="bullet"/>
      <w:lvlText w:val=""/>
      <w:lvlJc w:val="left"/>
      <w:pPr>
        <w:tabs>
          <w:tab w:val="num" w:pos="1800"/>
        </w:tabs>
        <w:ind w:left="1800" w:hanging="360"/>
      </w:pPr>
      <w:rPr>
        <w:rFonts w:ascii="Wingdings" w:hAnsi="Wingdings" w:hint="default"/>
      </w:rPr>
    </w:lvl>
    <w:lvl w:ilvl="3" w:tplc="00010409" w:tentative="1">
      <w:start w:val="1"/>
      <w:numFmt w:val="bullet"/>
      <w:lvlText w:val=""/>
      <w:lvlJc w:val="left"/>
      <w:pPr>
        <w:tabs>
          <w:tab w:val="num" w:pos="2520"/>
        </w:tabs>
        <w:ind w:left="2520" w:hanging="360"/>
      </w:pPr>
      <w:rPr>
        <w:rFonts w:ascii="Symbol" w:hAnsi="Symbol" w:hint="default"/>
      </w:rPr>
    </w:lvl>
    <w:lvl w:ilvl="4" w:tplc="00030409" w:tentative="1">
      <w:start w:val="1"/>
      <w:numFmt w:val="bullet"/>
      <w:lvlText w:val="o"/>
      <w:lvlJc w:val="left"/>
      <w:pPr>
        <w:tabs>
          <w:tab w:val="num" w:pos="3240"/>
        </w:tabs>
        <w:ind w:left="3240" w:hanging="360"/>
      </w:pPr>
      <w:rPr>
        <w:rFonts w:ascii="Courier New" w:hAnsi="Courier New" w:hint="default"/>
      </w:rPr>
    </w:lvl>
    <w:lvl w:ilvl="5" w:tplc="00050409" w:tentative="1">
      <w:start w:val="1"/>
      <w:numFmt w:val="bullet"/>
      <w:lvlText w:val=""/>
      <w:lvlJc w:val="left"/>
      <w:pPr>
        <w:tabs>
          <w:tab w:val="num" w:pos="3960"/>
        </w:tabs>
        <w:ind w:left="3960" w:hanging="360"/>
      </w:pPr>
      <w:rPr>
        <w:rFonts w:ascii="Wingdings" w:hAnsi="Wingdings" w:hint="default"/>
      </w:rPr>
    </w:lvl>
    <w:lvl w:ilvl="6" w:tplc="00010409" w:tentative="1">
      <w:start w:val="1"/>
      <w:numFmt w:val="bullet"/>
      <w:lvlText w:val=""/>
      <w:lvlJc w:val="left"/>
      <w:pPr>
        <w:tabs>
          <w:tab w:val="num" w:pos="4680"/>
        </w:tabs>
        <w:ind w:left="4680" w:hanging="360"/>
      </w:pPr>
      <w:rPr>
        <w:rFonts w:ascii="Symbol" w:hAnsi="Symbol" w:hint="default"/>
      </w:rPr>
    </w:lvl>
    <w:lvl w:ilvl="7" w:tplc="00030409" w:tentative="1">
      <w:start w:val="1"/>
      <w:numFmt w:val="bullet"/>
      <w:lvlText w:val="o"/>
      <w:lvlJc w:val="left"/>
      <w:pPr>
        <w:tabs>
          <w:tab w:val="num" w:pos="5400"/>
        </w:tabs>
        <w:ind w:left="5400" w:hanging="360"/>
      </w:pPr>
      <w:rPr>
        <w:rFonts w:ascii="Courier New" w:hAnsi="Courier New" w:hint="default"/>
      </w:rPr>
    </w:lvl>
    <w:lvl w:ilvl="8" w:tplc="00050409" w:tentative="1">
      <w:start w:val="1"/>
      <w:numFmt w:val="bullet"/>
      <w:lvlText w:val=""/>
      <w:lvlJc w:val="left"/>
      <w:pPr>
        <w:tabs>
          <w:tab w:val="num" w:pos="6120"/>
        </w:tabs>
        <w:ind w:left="6120" w:hanging="360"/>
      </w:pPr>
      <w:rPr>
        <w:rFonts w:ascii="Wingdings" w:hAnsi="Wingdings" w:hint="default"/>
      </w:rPr>
    </w:lvl>
  </w:abstractNum>
  <w:abstractNum w:abstractNumId="2" w15:restartNumberingAfterBreak="0">
    <w:nsid w:val="22D8778E"/>
    <w:multiLevelType w:val="hybridMultilevel"/>
    <w:tmpl w:val="8EA280B6"/>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 w15:restartNumberingAfterBreak="0">
    <w:nsid w:val="2420299C"/>
    <w:multiLevelType w:val="singleLevel"/>
    <w:tmpl w:val="DFBE0652"/>
    <w:lvl w:ilvl="0">
      <w:start w:val="1"/>
      <w:numFmt w:val="lowerLetter"/>
      <w:lvlText w:val="%1)"/>
      <w:lvlJc w:val="left"/>
      <w:pPr>
        <w:tabs>
          <w:tab w:val="num" w:pos="720"/>
        </w:tabs>
        <w:ind w:left="720" w:hanging="720"/>
      </w:pPr>
      <w:rPr>
        <w:rFonts w:hint="default"/>
      </w:rPr>
    </w:lvl>
  </w:abstractNum>
  <w:abstractNum w:abstractNumId="4" w15:restartNumberingAfterBreak="0">
    <w:nsid w:val="27801AD4"/>
    <w:multiLevelType w:val="hybridMultilevel"/>
    <w:tmpl w:val="E5D494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45910E9D"/>
    <w:multiLevelType w:val="hybridMultilevel"/>
    <w:tmpl w:val="79566FA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55D62921"/>
    <w:multiLevelType w:val="hybridMultilevel"/>
    <w:tmpl w:val="3F8C6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69F80BE0"/>
    <w:multiLevelType w:val="hybridMultilevel"/>
    <w:tmpl w:val="1902C11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79DA66F1"/>
    <w:multiLevelType w:val="hybridMultilevel"/>
    <w:tmpl w:val="D274513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7CC321A3"/>
    <w:multiLevelType w:val="hybridMultilevel"/>
    <w:tmpl w:val="447248FE"/>
    <w:lvl w:ilvl="0" w:tplc="55865B6C">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2074312468">
    <w:abstractNumId w:val="3"/>
  </w:num>
  <w:num w:numId="2" w16cid:durableId="706024457">
    <w:abstractNumId w:val="1"/>
  </w:num>
  <w:num w:numId="3" w16cid:durableId="572928920">
    <w:abstractNumId w:val="9"/>
  </w:num>
  <w:num w:numId="4" w16cid:durableId="336421535">
    <w:abstractNumId w:val="0"/>
  </w:num>
  <w:num w:numId="5" w16cid:durableId="1140801607">
    <w:abstractNumId w:val="4"/>
  </w:num>
  <w:num w:numId="6" w16cid:durableId="1242527319">
    <w:abstractNumId w:val="5"/>
  </w:num>
  <w:num w:numId="7" w16cid:durableId="481849393">
    <w:abstractNumId w:val="6"/>
  </w:num>
  <w:num w:numId="8" w16cid:durableId="1142698384">
    <w:abstractNumId w:val="2"/>
  </w:num>
  <w:num w:numId="9" w16cid:durableId="1882744661">
    <w:abstractNumId w:val="8"/>
  </w:num>
  <w:num w:numId="10" w16cid:durableId="9223743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305"/>
    <w:rsid w:val="00023B84"/>
    <w:rsid w:val="00030CB4"/>
    <w:rsid w:val="00040E7D"/>
    <w:rsid w:val="0004245D"/>
    <w:rsid w:val="00052DD1"/>
    <w:rsid w:val="00076556"/>
    <w:rsid w:val="000D325D"/>
    <w:rsid w:val="000D4F36"/>
    <w:rsid w:val="000E2C8D"/>
    <w:rsid w:val="000E71C5"/>
    <w:rsid w:val="000F1795"/>
    <w:rsid w:val="00100DC3"/>
    <w:rsid w:val="0010114C"/>
    <w:rsid w:val="0010647D"/>
    <w:rsid w:val="0011491F"/>
    <w:rsid w:val="00141365"/>
    <w:rsid w:val="00162558"/>
    <w:rsid w:val="0016357A"/>
    <w:rsid w:val="00183B90"/>
    <w:rsid w:val="001A3A2E"/>
    <w:rsid w:val="001B1E7A"/>
    <w:rsid w:val="001D6CB3"/>
    <w:rsid w:val="001E0BED"/>
    <w:rsid w:val="001E0C9C"/>
    <w:rsid w:val="001E39C3"/>
    <w:rsid w:val="00232F13"/>
    <w:rsid w:val="00234EF1"/>
    <w:rsid w:val="00250652"/>
    <w:rsid w:val="00265E77"/>
    <w:rsid w:val="00273721"/>
    <w:rsid w:val="002770C3"/>
    <w:rsid w:val="00285732"/>
    <w:rsid w:val="00297D32"/>
    <w:rsid w:val="002B17F0"/>
    <w:rsid w:val="002C74A5"/>
    <w:rsid w:val="002E72E8"/>
    <w:rsid w:val="002F00E7"/>
    <w:rsid w:val="002F1826"/>
    <w:rsid w:val="00312076"/>
    <w:rsid w:val="00314A4B"/>
    <w:rsid w:val="00331D9D"/>
    <w:rsid w:val="003363FC"/>
    <w:rsid w:val="00337633"/>
    <w:rsid w:val="003479C1"/>
    <w:rsid w:val="00360140"/>
    <w:rsid w:val="003647CD"/>
    <w:rsid w:val="00364CC6"/>
    <w:rsid w:val="003659E6"/>
    <w:rsid w:val="0039363E"/>
    <w:rsid w:val="00396C35"/>
    <w:rsid w:val="003B13D1"/>
    <w:rsid w:val="003B53C2"/>
    <w:rsid w:val="003C7B21"/>
    <w:rsid w:val="003E3956"/>
    <w:rsid w:val="00413D1E"/>
    <w:rsid w:val="00436826"/>
    <w:rsid w:val="00440DA2"/>
    <w:rsid w:val="00447CC9"/>
    <w:rsid w:val="00451967"/>
    <w:rsid w:val="00464004"/>
    <w:rsid w:val="004757D9"/>
    <w:rsid w:val="00480F6A"/>
    <w:rsid w:val="0048506B"/>
    <w:rsid w:val="004D41E1"/>
    <w:rsid w:val="004D4A9A"/>
    <w:rsid w:val="004E6C94"/>
    <w:rsid w:val="004F448F"/>
    <w:rsid w:val="004F7BB5"/>
    <w:rsid w:val="00513224"/>
    <w:rsid w:val="00525F86"/>
    <w:rsid w:val="00530DC9"/>
    <w:rsid w:val="005377D7"/>
    <w:rsid w:val="005425DA"/>
    <w:rsid w:val="00547DE9"/>
    <w:rsid w:val="005B54B0"/>
    <w:rsid w:val="005B72C7"/>
    <w:rsid w:val="005C068F"/>
    <w:rsid w:val="005D6C76"/>
    <w:rsid w:val="005E4972"/>
    <w:rsid w:val="0060001D"/>
    <w:rsid w:val="006243AE"/>
    <w:rsid w:val="00632C10"/>
    <w:rsid w:val="00634BDE"/>
    <w:rsid w:val="00636596"/>
    <w:rsid w:val="0066245E"/>
    <w:rsid w:val="00674DE7"/>
    <w:rsid w:val="00686276"/>
    <w:rsid w:val="0069107B"/>
    <w:rsid w:val="00702FCC"/>
    <w:rsid w:val="00703322"/>
    <w:rsid w:val="007166FB"/>
    <w:rsid w:val="0074038C"/>
    <w:rsid w:val="0074064F"/>
    <w:rsid w:val="00757E03"/>
    <w:rsid w:val="0076074B"/>
    <w:rsid w:val="00774B00"/>
    <w:rsid w:val="0078102A"/>
    <w:rsid w:val="00783404"/>
    <w:rsid w:val="007F686E"/>
    <w:rsid w:val="00800A50"/>
    <w:rsid w:val="008017F9"/>
    <w:rsid w:val="00801A6D"/>
    <w:rsid w:val="008155A3"/>
    <w:rsid w:val="00822182"/>
    <w:rsid w:val="0082219D"/>
    <w:rsid w:val="00830FE5"/>
    <w:rsid w:val="00845957"/>
    <w:rsid w:val="0085320E"/>
    <w:rsid w:val="00856191"/>
    <w:rsid w:val="00856620"/>
    <w:rsid w:val="00862895"/>
    <w:rsid w:val="00876060"/>
    <w:rsid w:val="008839E2"/>
    <w:rsid w:val="008A2E35"/>
    <w:rsid w:val="008A47F1"/>
    <w:rsid w:val="008D3621"/>
    <w:rsid w:val="008D5E24"/>
    <w:rsid w:val="008D73E1"/>
    <w:rsid w:val="008F250D"/>
    <w:rsid w:val="008F671B"/>
    <w:rsid w:val="0093498F"/>
    <w:rsid w:val="00945232"/>
    <w:rsid w:val="009541BA"/>
    <w:rsid w:val="00982DE1"/>
    <w:rsid w:val="00990D45"/>
    <w:rsid w:val="0099453E"/>
    <w:rsid w:val="0099589D"/>
    <w:rsid w:val="009A3A09"/>
    <w:rsid w:val="009A4559"/>
    <w:rsid w:val="009B2F00"/>
    <w:rsid w:val="009D5183"/>
    <w:rsid w:val="009F3BE2"/>
    <w:rsid w:val="00A21BDC"/>
    <w:rsid w:val="00A23FF9"/>
    <w:rsid w:val="00A338C6"/>
    <w:rsid w:val="00A40514"/>
    <w:rsid w:val="00A47E41"/>
    <w:rsid w:val="00A60FB3"/>
    <w:rsid w:val="00A62D23"/>
    <w:rsid w:val="00A707A4"/>
    <w:rsid w:val="00A7248E"/>
    <w:rsid w:val="00A87409"/>
    <w:rsid w:val="00A9363E"/>
    <w:rsid w:val="00AA006C"/>
    <w:rsid w:val="00AA0EC2"/>
    <w:rsid w:val="00AB0AF8"/>
    <w:rsid w:val="00AB75E9"/>
    <w:rsid w:val="00AC1B34"/>
    <w:rsid w:val="00AD37EB"/>
    <w:rsid w:val="00B0316B"/>
    <w:rsid w:val="00B14964"/>
    <w:rsid w:val="00B15B62"/>
    <w:rsid w:val="00B25D09"/>
    <w:rsid w:val="00B46AF0"/>
    <w:rsid w:val="00B477DB"/>
    <w:rsid w:val="00B609CA"/>
    <w:rsid w:val="00B772E1"/>
    <w:rsid w:val="00B8450B"/>
    <w:rsid w:val="00C03617"/>
    <w:rsid w:val="00C12690"/>
    <w:rsid w:val="00C453AD"/>
    <w:rsid w:val="00C5032E"/>
    <w:rsid w:val="00C54893"/>
    <w:rsid w:val="00C802F8"/>
    <w:rsid w:val="00C86B66"/>
    <w:rsid w:val="00CB7D42"/>
    <w:rsid w:val="00CC3D37"/>
    <w:rsid w:val="00CC5672"/>
    <w:rsid w:val="00CD3684"/>
    <w:rsid w:val="00CE3799"/>
    <w:rsid w:val="00CE797F"/>
    <w:rsid w:val="00CF3F5F"/>
    <w:rsid w:val="00D23B43"/>
    <w:rsid w:val="00D24564"/>
    <w:rsid w:val="00D26639"/>
    <w:rsid w:val="00D271A0"/>
    <w:rsid w:val="00D41530"/>
    <w:rsid w:val="00D423BB"/>
    <w:rsid w:val="00D608EF"/>
    <w:rsid w:val="00D958FD"/>
    <w:rsid w:val="00DB3B09"/>
    <w:rsid w:val="00DB5DB9"/>
    <w:rsid w:val="00DC3BC2"/>
    <w:rsid w:val="00DD5753"/>
    <w:rsid w:val="00E03B14"/>
    <w:rsid w:val="00E0790A"/>
    <w:rsid w:val="00E1228B"/>
    <w:rsid w:val="00E13F5E"/>
    <w:rsid w:val="00E236FD"/>
    <w:rsid w:val="00E43305"/>
    <w:rsid w:val="00E47931"/>
    <w:rsid w:val="00E6500E"/>
    <w:rsid w:val="00E81B94"/>
    <w:rsid w:val="00E832E8"/>
    <w:rsid w:val="00E8429D"/>
    <w:rsid w:val="00EB4BA7"/>
    <w:rsid w:val="00F0476A"/>
    <w:rsid w:val="00F15DA4"/>
    <w:rsid w:val="00F25176"/>
    <w:rsid w:val="00F32C2B"/>
    <w:rsid w:val="00F52826"/>
    <w:rsid w:val="00F5288C"/>
    <w:rsid w:val="00F71F85"/>
    <w:rsid w:val="00F87D6F"/>
    <w:rsid w:val="00F9030A"/>
    <w:rsid w:val="00FE612B"/>
    <w:rsid w:val="00FE6BA3"/>
    <w:rsid w:val="00FF0D4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EDD792"/>
  <w15:docId w15:val="{1B0D0DBC-5D4C-4140-B267-0588A5E00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153"/>
        <w:tab w:val="right" w:pos="8306"/>
      </w:tabs>
    </w:pPr>
  </w:style>
  <w:style w:type="paragraph" w:styleId="Footer">
    <w:name w:val="footer"/>
    <w:basedOn w:val="Normal"/>
    <w:pPr>
      <w:tabs>
        <w:tab w:val="center" w:pos="4153"/>
        <w:tab w:val="right" w:pos="8306"/>
      </w:tabs>
    </w:pPr>
  </w:style>
  <w:style w:type="paragraph" w:styleId="BodyText">
    <w:name w:val="Body Text"/>
    <w:basedOn w:val="Normal"/>
    <w:pPr>
      <w:jc w:val="both"/>
    </w:pPr>
    <w:rPr>
      <w:rFonts w:ascii="Arial" w:hAnsi="Arial" w:cs="Arial"/>
      <w:sz w:val="32"/>
    </w:rPr>
  </w:style>
  <w:style w:type="paragraph" w:styleId="BodyText2">
    <w:name w:val="Body Text 2"/>
    <w:basedOn w:val="Normal"/>
    <w:pPr>
      <w:tabs>
        <w:tab w:val="left" w:pos="-1440"/>
        <w:tab w:val="left" w:pos="-720"/>
        <w:tab w:val="left" w:pos="0"/>
      </w:tabs>
      <w:suppressAutoHyphens/>
      <w:jc w:val="both"/>
    </w:pPr>
    <w:rPr>
      <w:rFonts w:ascii="Arial" w:hAnsi="Arial" w:cs="Arial"/>
      <w:bCs/>
      <w:iCs/>
    </w:rPr>
  </w:style>
  <w:style w:type="paragraph" w:styleId="BodyTextIndent">
    <w:name w:val="Body Text Indent"/>
    <w:basedOn w:val="Normal"/>
    <w:pPr>
      <w:keepNext/>
      <w:tabs>
        <w:tab w:val="left" w:pos="-1440"/>
        <w:tab w:val="left" w:pos="-720"/>
        <w:tab w:val="left" w:pos="0"/>
        <w:tab w:val="left" w:pos="360"/>
        <w:tab w:val="left" w:pos="720"/>
        <w:tab w:val="left" w:pos="1080"/>
        <w:tab w:val="left" w:pos="1440"/>
        <w:tab w:val="left" w:pos="1800"/>
        <w:tab w:val="left" w:pos="2160"/>
      </w:tabs>
      <w:suppressAutoHyphens/>
      <w:ind w:left="1080" w:hanging="1080"/>
      <w:jc w:val="both"/>
      <w:outlineLvl w:val="4"/>
    </w:pPr>
    <w:rPr>
      <w:rFonts w:ascii="Arial" w:hAnsi="Arial" w:cs="Arial"/>
      <w:b/>
      <w:i/>
      <w:sz w:val="28"/>
    </w:rPr>
  </w:style>
  <w:style w:type="paragraph" w:styleId="BodyText3">
    <w:name w:val="Body Text 3"/>
    <w:basedOn w:val="Normal"/>
    <w:pPr>
      <w:keepNext/>
      <w:tabs>
        <w:tab w:val="left" w:pos="-1440"/>
        <w:tab w:val="left" w:pos="-720"/>
        <w:tab w:val="left" w:pos="0"/>
        <w:tab w:val="left" w:pos="360"/>
        <w:tab w:val="left" w:pos="540"/>
        <w:tab w:val="left" w:pos="720"/>
        <w:tab w:val="left" w:pos="1440"/>
        <w:tab w:val="left" w:pos="1800"/>
        <w:tab w:val="left" w:pos="2160"/>
      </w:tabs>
      <w:suppressAutoHyphens/>
      <w:jc w:val="both"/>
      <w:outlineLvl w:val="4"/>
    </w:pPr>
    <w:rPr>
      <w:rFonts w:ascii="Arial" w:hAnsi="Arial" w:cs="Arial"/>
      <w:bCs/>
      <w:iCs/>
      <w:sz w:val="28"/>
    </w:rPr>
  </w:style>
  <w:style w:type="paragraph" w:styleId="BalloonText">
    <w:name w:val="Balloon Text"/>
    <w:basedOn w:val="Normal"/>
    <w:semiHidden/>
    <w:rsid w:val="00E832E8"/>
    <w:rPr>
      <w:rFonts w:ascii="Tahoma" w:hAnsi="Tahoma" w:cs="Tahoma"/>
      <w:sz w:val="16"/>
      <w:szCs w:val="16"/>
    </w:rPr>
  </w:style>
  <w:style w:type="character" w:styleId="Hyperlink">
    <w:name w:val="Hyperlink"/>
    <w:rsid w:val="00E81B94"/>
    <w:rPr>
      <w:color w:val="0000FF"/>
      <w:u w:val="single"/>
    </w:rPr>
  </w:style>
  <w:style w:type="character" w:styleId="UnresolvedMention">
    <w:name w:val="Unresolved Mention"/>
    <w:basedOn w:val="DefaultParagraphFont"/>
    <w:uiPriority w:val="99"/>
    <w:semiHidden/>
    <w:unhideWhenUsed/>
    <w:rsid w:val="00DC3BC2"/>
    <w:rPr>
      <w:color w:val="605E5C"/>
      <w:shd w:val="clear" w:color="auto" w:fill="E1DFDD"/>
    </w:rPr>
  </w:style>
  <w:style w:type="character" w:styleId="FollowedHyperlink">
    <w:name w:val="FollowedHyperlink"/>
    <w:basedOn w:val="DefaultParagraphFont"/>
    <w:semiHidden/>
    <w:unhideWhenUsed/>
    <w:rsid w:val="002770C3"/>
    <w:rPr>
      <w:color w:val="800080" w:themeColor="followedHyperlink"/>
      <w:u w:val="single"/>
    </w:rPr>
  </w:style>
  <w:style w:type="paragraph" w:styleId="ListParagraph">
    <w:name w:val="List Paragraph"/>
    <w:basedOn w:val="Normal"/>
    <w:uiPriority w:val="34"/>
    <w:qFormat/>
    <w:rsid w:val="00A93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4423687">
      <w:bodyDiv w:val="1"/>
      <w:marLeft w:val="0"/>
      <w:marRight w:val="0"/>
      <w:marTop w:val="0"/>
      <w:marBottom w:val="0"/>
      <w:divBdr>
        <w:top w:val="none" w:sz="0" w:space="0" w:color="auto"/>
        <w:left w:val="none" w:sz="0" w:space="0" w:color="auto"/>
        <w:bottom w:val="none" w:sz="0" w:space="0" w:color="auto"/>
        <w:right w:val="none" w:sz="0" w:space="0" w:color="auto"/>
      </w:divBdr>
    </w:div>
    <w:div w:id="1347709438">
      <w:bodyDiv w:val="1"/>
      <w:marLeft w:val="0"/>
      <w:marRight w:val="0"/>
      <w:marTop w:val="0"/>
      <w:marBottom w:val="0"/>
      <w:divBdr>
        <w:top w:val="none" w:sz="0" w:space="0" w:color="auto"/>
        <w:left w:val="none" w:sz="0" w:space="0" w:color="auto"/>
        <w:bottom w:val="none" w:sz="0" w:space="0" w:color="auto"/>
        <w:right w:val="none" w:sz="0" w:space="0" w:color="auto"/>
      </w:divBdr>
    </w:div>
    <w:div w:id="13978218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3BD8BBF-8A0B-45AE-A6DA-7A94804CD8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8</Words>
  <Characters>46</Characters>
  <Application>Microsoft Office Word</Application>
  <DocSecurity>0</DocSecurity>
  <Lines>1</Lines>
  <Paragraphs>1</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CV/ CAREER SUMMARY INFORMATION</vt:lpstr>
      <vt:lpstr>CV/ CAREER SUMMARY INFORMATION</vt:lpstr>
    </vt:vector>
  </TitlesOfParts>
  <Company>Management School</Company>
  <LinksUpToDate>false</LinksUpToDate>
  <CharactersWithSpaces>53</CharactersWithSpaces>
  <SharedDoc>false</SharedDoc>
  <HLinks>
    <vt:vector size="6" baseType="variant">
      <vt:variant>
        <vt:i4>2424943</vt:i4>
      </vt:variant>
      <vt:variant>
        <vt:i4>0</vt:i4>
      </vt:variant>
      <vt:variant>
        <vt:i4>0</vt:i4>
      </vt:variant>
      <vt:variant>
        <vt:i4>5</vt:i4>
      </vt:variant>
      <vt:variant>
        <vt:lpwstr>https://www.wiki.ed.ac.uk/pages/viewpage.action?pageId=46563494</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 CAREER SUMMARY INFORMATION</dc:title>
  <dc:subject/>
  <dc:creator>Jackie Clark</dc:creator>
  <cp:keywords/>
  <dc:description/>
  <cp:lastModifiedBy>Azamat Kanatuly</cp:lastModifiedBy>
  <cp:revision>23</cp:revision>
  <cp:lastPrinted>2012-08-22T12:07:00Z</cp:lastPrinted>
  <dcterms:created xsi:type="dcterms:W3CDTF">2025-07-11T11:27:00Z</dcterms:created>
  <dcterms:modified xsi:type="dcterms:W3CDTF">2025-07-13T12:18:00Z</dcterms:modified>
</cp:coreProperties>
</file>