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13, 2025 at 06:03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972B2B5"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360" w:lineRule="auto"/>
        <w:jc w:val="both"/>
        <w:rPr>
          <w:lang w:val="en-US"/>
        </w:rPr>
      </w:pPr>
      <w:r>
        <w:rPr>
          <w:rFonts w:ascii="Times New Roman" w:hAnsi="Times New Roman"/>
          <w:sz w:val="24"/>
        </w:rPr>
        <w:t>INVESTMENT MEMORANDUM – StoreDot</w:t>
      </w:r>
    </w:p>
    <w:p w14:paraId="3FD32F0D" w14:textId="77777777" w:rsidR="00FE612B" w:rsidRPr="00C802F8" w:rsidRDefault="00FE612B" w:rsidP="00C802F8">
      <w:pPr>
        <w:tabs>
          <w:tab w:val="left" w:pos="3060"/>
        </w:tabs>
        <w:rPr>
          <w:lang w:val="en-US"/>
        </w:rPr>
      </w:pPr>
    </w:p>
    <w:p>
      <w:pPr>
        <w:spacing w:after="0"/>
      </w:pPr>
    </w:p>
    <w:p>
      <w:pPr>
        <w:spacing w:line="360" w:lineRule="auto" w:after="120"/>
        <w:jc w:val="both"/>
      </w:pPr>
      <w:r>
        <w:rPr>
          <w:rFonts w:ascii="Times New Roman" w:hAnsi="Times New Roman"/>
          <w:b/>
          <w:sz w:val="24"/>
        </w:rPr>
        <w:t>1. DETAILED SUMMARY</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after="0"/>
      </w:pPr>
    </w:p>
    <w:p>
      <w:pPr>
        <w:spacing w:line="360" w:lineRule="auto" w:after="120"/>
        <w:jc w:val="both"/>
      </w:pPr>
      <w:r>
        <w:rPr>
          <w:rFonts w:ascii="Times New Roman" w:hAnsi="Times New Roman"/>
          <w:b/>
          <w:sz w:val="24"/>
        </w:rPr>
        <w:t>2. COMPANY OVERVIEW</w:t>
      </w:r>
    </w:p>
    <w:p>
      <w:pPr>
        <w:spacing w:line="360" w:lineRule="auto"/>
        <w:jc w:val="both"/>
      </w:pPr>
      <w:r>
        <w:rPr>
          <w:rFonts w:ascii="Times New Roman" w:hAnsi="Times New Roman"/>
          <w:sz w:val="24"/>
        </w:rPr>
        <w:t>Company: StoreDot</w:t>
      </w:r>
    </w:p>
    <w:p>
      <w:pPr>
        <w:spacing w:line="360" w:lineRule="auto"/>
        <w:jc w:val="both"/>
      </w:pPr>
      <w:r>
        <w:rPr>
          <w:rFonts w:ascii="Times New Roman" w:hAnsi="Times New Roman"/>
          <w:sz w:val="24"/>
        </w:rPr>
        <w:t>Sector: Battery Technology</w:t>
      </w:r>
    </w:p>
    <w:p>
      <w:pPr>
        <w:spacing w:line="360" w:lineRule="auto"/>
        <w:jc w:val="both"/>
      </w:pPr>
      <w:r>
        <w:rPr>
          <w:rFonts w:ascii="Times New Roman" w:hAnsi="Times New Roman"/>
          <w:sz w:val="24"/>
        </w:rPr>
        <w:t>Website: The official website for the company StoreDot is https://storedot.com.</w:t>
      </w:r>
    </w:p>
    <w:p>
      <w:pPr>
        <w:spacing w:line="360" w:lineRule="auto"/>
        <w:jc w:val="both"/>
      </w:pPr>
      <w:r>
        <w:rPr>
          <w:rFonts w:ascii="Times New Roman" w:hAnsi="Times New Roman"/>
          <w:sz w:val="24"/>
        </w:rPr>
        <w:t>Funding Stage: Undisclosed (no public data found)</w:t>
      </w:r>
    </w:p>
    <w:p>
      <w:pPr>
        <w:spacing w:line="360" w:lineRule="auto"/>
        <w:jc w:val="both"/>
      </w:pPr>
      <w:r>
        <w:rPr>
          <w:rFonts w:ascii="Times New Roman" w:hAnsi="Times New Roman"/>
          <w:sz w:val="24"/>
        </w:rPr>
        <w:t>Team: Doron Myersdorf</w:t>
      </w:r>
    </w:p>
    <w:p>
      <w:pPr>
        <w:spacing w:after="0"/>
      </w:pPr>
    </w:p>
    <w:p>
      <w:pPr>
        <w:spacing w:line="360" w:lineRule="auto" w:after="120"/>
        <w:jc w:val="both"/>
      </w:pPr>
      <w:r>
        <w:rPr>
          <w:rFonts w:ascii="Times New Roman" w:hAnsi="Times New Roman"/>
          <w:b/>
          <w:sz w:val="24"/>
        </w:rPr>
        <w:t>3. PROBLEM STATEMENT</w:t>
      </w:r>
    </w:p>
    <w:p>
      <w:pPr>
        <w:spacing w:line="360" w:lineRule="auto"/>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after="0"/>
      </w:pPr>
    </w:p>
    <w:p>
      <w:pPr>
        <w:spacing w:line="360" w:lineRule="auto" w:after="120"/>
        <w:jc w:val="both"/>
      </w:pPr>
      <w:r>
        <w:rPr>
          <w:rFonts w:ascii="Times New Roman" w:hAnsi="Times New Roman"/>
          <w:b/>
          <w:sz w:val="24"/>
        </w:rPr>
        <w:t>4. SOLUTION OVERVIEW</w:t>
      </w:r>
    </w:p>
    <w:p>
      <w:pPr>
        <w:spacing w:line="360" w:lineRule="auto"/>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after="0"/>
      </w:pPr>
    </w:p>
    <w:p>
      <w:pPr>
        <w:spacing w:line="360" w:lineRule="auto" w:after="120"/>
        <w:jc w:val="both"/>
      </w:pPr>
      <w:r>
        <w:rPr>
          <w:rFonts w:ascii="Times New Roman" w:hAnsi="Times New Roman"/>
          <w:b/>
          <w:sz w:val="24"/>
        </w:rPr>
        <w:t>5. MARKET SIZE &amp; ANALYSIS</w:t>
      </w:r>
    </w:p>
    <w:p>
      <w:pPr>
        <w:spacing w:line="360" w:lineRule="auto"/>
        <w:jc w:val="both"/>
      </w:pPr>
      <w:r>
        <w:rPr>
          <w:rFonts w:ascii="Times New Roman" w:hAnsi="Times New Roman"/>
          <w:sz w:val="24"/>
        </w:rPr>
        <w:t>TAM $120 K, SAM $25 K, SOM $5 K; Market Penetration: 4.2 %</w:t>
      </w:r>
    </w:p>
    <w:p>
      <w:pPr>
        <w:spacing w:line="360" w:lineRule="auto"/>
        <w:jc w:val="both"/>
      </w:pPr>
      <w:r>
        <w:rPr>
          <w:rFonts w:ascii="Times New Roman" w:hAnsi="Times New Roman"/>
          <w:sz w:val="24"/>
        </w:rPr>
        <w:t>Battery Technology</w:t>
      </w:r>
    </w:p>
    <w:p>
      <w:pPr>
        <w:spacing w:after="0"/>
      </w:pPr>
    </w:p>
    <w:p>
      <w:pPr>
        <w:spacing w:line="360" w:lineRule="auto" w:after="120"/>
        <w:jc w:val="both"/>
      </w:pPr>
      <w:r>
        <w:rPr>
          <w:rFonts w:ascii="Times New Roman" w:hAnsi="Times New Roman"/>
          <w:b/>
          <w:sz w:val="24"/>
        </w:rPr>
        <w:t>6. COMPETITIVE LANDSCAPE</w:t>
      </w:r>
    </w:p>
    <w:p>
      <w:pPr>
        <w:spacing w:line="360" w:lineRule="auto"/>
        <w:jc w:val="both"/>
      </w:pPr>
      <w:r>
        <w:rPr>
          <w:rFonts w:ascii="Times New Roman" w:hAnsi="Times New Roman"/>
          <w:sz w:val="24"/>
        </w:rPr>
        <w:t>• QuantumScape: Focuses on solid-state lithium-metal batteries promising higher energy density and faster charging times. Strength: Focuses on solid-state lithium-metal batteries promising higher energy density and faster charging times. Weakness: May face scale-up or commercialization challenges.</w:t>
      </w:r>
    </w:p>
    <w:p>
      <w:pPr>
        <w:spacing w:line="360" w:lineRule="auto"/>
        <w:jc w:val="both"/>
      </w:pPr>
      <w:r>
        <w:rPr>
          <w:rFonts w:ascii="Times New Roman" w:hAnsi="Times New Roman"/>
          <w:sz w:val="24"/>
        </w:rPr>
        <w:t>• Sila Nanotechnologies: Develops silicon-dominant anode materials to significantly improve lithium-ion battery capacity and charging speed. Strength: Develops silicon-dominant anode materials to significantly improve lithium-ion battery capacity and charging speed. Weakness: May face scale-up or commercialization challenges.</w:t>
      </w:r>
    </w:p>
    <w:p>
      <w:pPr>
        <w:spacing w:line="360" w:lineRule="auto"/>
        <w:jc w:val="both"/>
      </w:pPr>
      <w:r>
        <w:rPr>
          <w:rFonts w:ascii="Times New Roman" w:hAnsi="Times New Roman"/>
          <w:sz w:val="24"/>
        </w:rPr>
        <w:t>• Solid Power: Specializes in all-solid-state batteries with scalable manufacturing processes targeting automotive applications. Strength: Specializes in all-solid-state batteries with scalable manufacturing processes targeting automotive applications. Weakness: May face scale-up or commercialization challenges.</w:t>
      </w:r>
    </w:p>
    <w:p>
      <w:pPr>
        <w:spacing w:after="0"/>
      </w:pPr>
    </w:p>
    <w:p>
      <w:pPr>
        <w:spacing w:line="360" w:lineRule="auto" w:after="120"/>
        <w:jc w:val="both"/>
      </w:pPr>
      <w:r>
        <w:rPr>
          <w:rFonts w:ascii="Times New Roman" w:hAnsi="Times New Roman"/>
          <w:b/>
          <w:sz w:val="24"/>
        </w:rPr>
        <w:t>7. BUSINESS MODEL</w:t>
      </w:r>
    </w:p>
    <w:p>
      <w:pPr>
        <w:spacing w:line="360" w:lineRule="auto"/>
        <w:jc w:val="both"/>
      </w:pPr>
      <w:r>
        <w:rPr>
          <w:rFonts w:ascii="Times New Roman" w:hAnsi="Times New Roman"/>
          <w:sz w:val="24"/>
        </w:rPr>
        <w:t>StoreDot is developing extreme fast charging (XFC) lithium-ion battery technology aimed at accelerating electric vehicle (EV) adoption by addressing key pain points like long charging times and charging anxiety. Their proprietary "100in5" silicon-dominant anode battery cells can charge 100 miles of range in 5 minutes, with commercial readiness targeted for 2025 and demonstrated compatibility with existing Li-ion manufacturing lines, enabling scalable, cost-effective production. StoreDot’s primary customers are EV OEMs and battery manufacturers, with over 15 OEMs and partners currently testing their technology, positioning StoreDot as a licensing and technology provider rather than a direct EV maker. The go-to-market strategy focuses on embedding their batteries into mainstream EVs via partnerships, leveraging their 3-5 year lead over competing battery chemistries and a strong patent portfolio. Recent updates confirm ongoing pilot production readiness and scaling efforts, with a roadmap extending to semi-solid and post-lithium batteries by 2028-2032, reflecting a clear technology evolution path aligned with industry timelines. Sources: StoreDot April 2023 corporate overview; UBS EV battery market reports.</w:t>
      </w:r>
    </w:p>
    <w:p>
      <w:pPr>
        <w:spacing w:after="0"/>
      </w:pPr>
    </w:p>
    <w:p>
      <w:pPr>
        <w:spacing w:line="360" w:lineRule="auto" w:after="120"/>
        <w:jc w:val="both"/>
      </w:pPr>
      <w:r>
        <w:rPr>
          <w:rFonts w:ascii="Times New Roman" w:hAnsi="Times New Roman"/>
          <w:b/>
          <w:sz w:val="24"/>
        </w:rPr>
        <w:t>8. TECHNICAL DUE DILIGENCE</w:t>
      </w:r>
    </w:p>
    <w:p>
      <w:pPr>
        <w:spacing w:line="360" w:lineRule="auto"/>
        <w:jc w:val="both"/>
      </w:pPr>
      <w:r>
        <w:rPr>
          <w:rFonts w:ascii="Times New Roman" w:hAnsi="Times New Roman"/>
          <w:sz w:val="24"/>
        </w:rPr>
        <w:t>Technology Maturity: production. Moat: StoreDot has a 3-5 years' lead on alternative solutions in extreme fast charging technology. Further technical due diligence is required, including independent validation of performance claims, cycle life, and safety.</w:t>
      </w:r>
    </w:p>
    <w:p>
      <w:pPr>
        <w:spacing w:after="0"/>
      </w:pPr>
    </w:p>
    <w:p>
      <w:pPr>
        <w:spacing w:line="360" w:lineRule="auto" w:after="120"/>
        <w:jc w:val="both"/>
      </w:pPr>
      <w:r>
        <w:rPr>
          <w:rFonts w:ascii="Times New Roman" w:hAnsi="Times New Roman"/>
          <w:b/>
          <w:sz w:val="24"/>
        </w:rPr>
        <w:t>9. PRODUCT DESCRIPTION</w:t>
      </w:r>
    </w:p>
    <w:p>
      <w:pPr>
        <w:spacing w:line="360" w:lineRule="auto"/>
        <w:jc w:val="both"/>
      </w:pPr>
      <w:r>
        <w:rPr>
          <w:rFonts w:ascii="Times New Roman" w:hAnsi="Times New Roman"/>
          <w:sz w:val="24"/>
        </w:rPr>
        <w:t>StoreDot has a 3-5 years' lead on alternative solutions in extreme fast charging technology</w:t>
      </w:r>
    </w:p>
    <w:p>
      <w:pPr>
        <w:spacing w:after="0"/>
      </w:pPr>
    </w:p>
    <w:p>
      <w:pPr>
        <w:spacing w:line="360" w:lineRule="auto" w:after="120"/>
        <w:jc w:val="both"/>
      </w:pPr>
      <w:r>
        <w:rPr>
          <w:rFonts w:ascii="Times New Roman" w:hAnsi="Times New Roman"/>
          <w:b/>
          <w:sz w:val="24"/>
        </w:rPr>
        <w:t>10. FINANCIAL ANALYSIS</w:t>
      </w:r>
    </w:p>
    <w:p>
      <w:pPr>
        <w:spacing w:line="360" w:lineRule="auto"/>
        <w:jc w:val="both"/>
      </w:pPr>
      <w:r>
        <w:rPr>
          <w:rFonts w:ascii="Times New Roman" w:hAnsi="Times New Roman"/>
          <w:sz w:val="24"/>
        </w:rPr>
        <w:t>Company has not released financials as of July 13, 2025.</w:t>
      </w:r>
    </w:p>
    <w:p>
      <w:pPr>
        <w:spacing w:after="0"/>
      </w:pPr>
    </w:p>
    <w:p>
      <w:pPr>
        <w:spacing w:line="360" w:lineRule="auto" w:after="120"/>
        <w:jc w:val="both"/>
      </w:pPr>
      <w:r>
        <w:rPr>
          <w:rFonts w:ascii="Times New Roman" w:hAnsi="Times New Roman"/>
          <w:b/>
          <w:sz w:val="24"/>
        </w:rPr>
        <w:t>11. TEAM &amp; MANAGEMENT</w:t>
      </w:r>
    </w:p>
    <w:p>
      <w:pPr>
        <w:spacing w:line="360" w:lineRule="auto"/>
        <w:jc w:val="both"/>
      </w:pPr>
      <w:r>
        <w:rPr>
          <w:rFonts w:ascii="Times New Roman" w:hAnsi="Times New Roman"/>
          <w:sz w:val="24"/>
        </w:rPr>
        <w:t>Founder: Doron Myersdorf</w:t>
      </w:r>
    </w:p>
    <w:p>
      <w:pPr>
        <w:spacing w:line="360" w:lineRule="auto"/>
        <w:jc w:val="both"/>
      </w:pPr>
      <w:r>
        <w:rPr>
          <w:rFonts w:ascii="Times New Roman" w:hAnsi="Times New Roman"/>
          <w:sz w:val="24"/>
        </w:rPr>
        <w:t>Founder Fit Score: 0.8</w:t>
      </w:r>
    </w:p>
    <w:p>
      <w:pPr>
        <w:spacing w:line="360" w:lineRule="auto"/>
        <w:jc w:val="both"/>
      </w:pPr>
      <w:r>
        <w:rPr>
          <w:rFonts w:ascii="Times New Roman" w:hAnsi="Times New Roman"/>
          <w:sz w:val="24"/>
        </w:rPr>
        <w:t>Prior Exits: 2</w:t>
      </w:r>
    </w:p>
    <w:p>
      <w:pPr>
        <w:spacing w:line="360" w:lineRule="auto"/>
        <w:jc w:val="both"/>
      </w:pPr>
      <w:r>
        <w:rPr>
          <w:rFonts w:ascii="Times New Roman" w:hAnsi="Times New Roman"/>
          <w:sz w:val="24"/>
        </w:rPr>
        <w:t>Sector Experience: Battery Technology</w:t>
      </w:r>
    </w:p>
    <w:p>
      <w:pPr>
        <w:spacing w:after="0"/>
      </w:pPr>
    </w:p>
    <w:p>
      <w:pPr>
        <w:spacing w:line="360" w:lineRule="auto" w:after="120"/>
        <w:jc w:val="both"/>
      </w:pPr>
      <w:r>
        <w:rPr>
          <w:rFonts w:ascii="Times New Roman" w:hAnsi="Times New Roman"/>
          <w:b/>
          <w:sz w:val="24"/>
        </w:rPr>
        <w:t>12. ESG CONSIDERATIONS</w:t>
      </w:r>
    </w:p>
    <w:p>
      <w:pPr>
        <w:spacing w:line="360" w:lineRule="auto"/>
        <w:jc w:val="both"/>
      </w:pPr>
      <w:r>
        <w:rPr>
          <w:rFonts w:ascii="Times New Roman" w:hAnsi="Times New Roman"/>
          <w:sz w:val="24"/>
        </w:rPr>
        <w:t>StoreDot is developing extreme fast charging (XFC) lithium-ion battery technology aimed at accelerating electric vehicle (EV) adoption by addressing key barriers such as charging time and infrastructure limitations. Their technology promises charging times of around 10 minutes with no degradation over 1200 cycles, leveraging scalable, standard Li-ion manufacturing lines and a cobalt-reduction approach, which supports sustainability goals by potentially lowering reliance on critical raw materials. Socially, the technology could reduce "charging anxiety," improving user experience and EV accessibility, thus promoting broader environmental benefits through increased EV adoption. Governance appears strong with an experienced leadership team and advisory board from automotive and battery sectors, though specific ESG policies or disclosures are not detailed in the materials. No recent ESG controversies or news were identified from available sources, but further information on supply chain labor practices, raw material sourcing, and regulatory compliance would be needed for a comprehensive ESG assessment.</w:t>
      </w:r>
    </w:p>
    <w:p>
      <w:pPr>
        <w:spacing w:after="0"/>
      </w:pPr>
    </w:p>
    <w:p>
      <w:pPr>
        <w:spacing w:line="360" w:lineRule="auto" w:after="120"/>
        <w:jc w:val="both"/>
      </w:pPr>
      <w:r>
        <w:rPr>
          <w:rFonts w:ascii="Times New Roman" w:hAnsi="Times New Roman"/>
          <w:b/>
          <w:sz w:val="24"/>
        </w:rPr>
        <w:t>13. RISKS &amp; MITIGATIONS</w:t>
      </w:r>
    </w:p>
    <w:p>
      <w:pPr>
        <w:spacing w:line="360" w:lineRule="auto"/>
        <w:jc w:val="both"/>
      </w:pPr>
      <w:r>
        <w:rPr>
          <w:rFonts w:ascii="Times New Roman" w:hAnsi="Times New Roman"/>
          <w:sz w:val="24"/>
        </w:rPr>
        <w:t>Risk Score: N/A</w:t>
      </w:r>
    </w:p>
    <w:p>
      <w:pPr>
        <w:spacing w:line="360" w:lineRule="auto"/>
        <w:jc w:val="both"/>
      </w:pPr>
      <w:r>
        <w:rPr>
          <w:rFonts w:ascii="Times New Roman" w:hAnsi="Times New Roman"/>
          <w:sz w:val="24"/>
        </w:rPr>
        <w:t>Risk Flags: Limited financial data, Unknown funding stage, Limited runway information</w:t>
      </w:r>
    </w:p>
    <w:p>
      <w:pPr>
        <w:spacing w:after="0"/>
      </w:pPr>
    </w:p>
    <w:p>
      <w:pPr>
        <w:spacing w:line="360" w:lineRule="auto" w:after="120"/>
        <w:jc w:val="both"/>
      </w:pPr>
      <w:r>
        <w:rPr>
          <w:rFonts w:ascii="Times New Roman" w:hAnsi="Times New Roman"/>
          <w:b/>
          <w:sz w:val="24"/>
        </w:rPr>
        <w:t>14. INVESTMENT &amp; EXIT STRATEGIES</w:t>
      </w:r>
    </w:p>
    <w:p>
      <w:pPr>
        <w:spacing w:line="360" w:lineRule="auto"/>
        <w:jc w:val="both"/>
      </w:pPr>
      <w:r>
        <w:rPr>
          <w:rFonts w:ascii="Times New Roman" w:hAnsi="Times New Roman"/>
          <w:sz w:val="24"/>
        </w:rPr>
        <w:t>Based on the information provided, StoreDot has a promising future in the EV industry with its Extreme Fast Charging (XFC) battery technology. The company's technology is scalable, proven, and ahead of competitors, with a clear roadmap for production readiness. Potential exit scenarios could include acquisition by a major EV manufacturer looking to enhance their charging capabilities or an IPO once the technology is commercially ready in 2025. The recommended exit strategy would be to focus on partnerships and collaborations with OEMs to solidify market presence before considering exit options. Additional information needed for a more detailed analysis includes financial data, market traction, and potential acquirer interest.</w:t>
      </w:r>
    </w:p>
    <w:p>
      <w:pPr>
        <w:spacing w:after="0"/>
      </w:pPr>
    </w:p>
    <w:p>
      <w:pPr>
        <w:spacing w:line="360" w:lineRule="auto" w:after="120"/>
        <w:jc w:val="both"/>
      </w:pPr>
      <w:r>
        <w:rPr>
          <w:rFonts w:ascii="Times New Roman" w:hAnsi="Times New Roman"/>
          <w:b/>
          <w:sz w:val="24"/>
        </w:rPr>
        <w:t>15. FOLLOW-UP QUESTIONS &amp; NEXT STEPS</w:t>
      </w:r>
    </w:p>
    <w:p>
      <w:pPr>
        <w:spacing w:line="360" w:lineRule="auto"/>
        <w:jc w:val="both"/>
      </w:pPr>
      <w:r>
        <w:rPr>
          <w:rFonts w:ascii="Times New Roman" w:hAnsi="Times New Roman"/>
          <w:sz w:val="24"/>
        </w:rPr>
        <w:t>- **Technology Validation &amp; Performance**</w:t>
      </w:r>
    </w:p>
    <w:p>
      <w:pPr>
        <w:spacing w:line="360" w:lineRule="auto"/>
        <w:jc w:val="both"/>
      </w:pPr>
      <w:r>
        <w:rPr>
          <w:rFonts w:ascii="Times New Roman" w:hAnsi="Times New Roman"/>
          <w:sz w:val="24"/>
        </w:rPr>
        <w:t>- Request detailed third-party test results validating the 10-minute charging claim and &gt;1200 consecutive XFC cycles without degradation.</w:t>
      </w:r>
    </w:p>
    <w:p>
      <w:pPr>
        <w:spacing w:line="360" w:lineRule="auto"/>
        <w:jc w:val="both"/>
      </w:pPr>
      <w:r>
        <w:rPr>
          <w:rFonts w:ascii="Times New Roman" w:hAnsi="Times New Roman"/>
          <w:sz w:val="24"/>
        </w:rPr>
        <w:t>- Clarify performance consistency across different battery form factors and real-world conditions (temperature, aging).</w:t>
      </w:r>
    </w:p>
    <w:p>
      <w:pPr>
        <w:spacing w:line="360" w:lineRule="auto"/>
        <w:jc w:val="both"/>
      </w:pPr>
      <w:r>
        <w:rPr>
          <w:rFonts w:ascii="Times New Roman" w:hAnsi="Times New Roman"/>
          <w:sz w:val="24"/>
        </w:rPr>
        <w:t>- Obtain data on energy density and cycle life trade-offs compared to incumbent Li-ion and emerging solid-state batteries.</w:t>
      </w:r>
    </w:p>
    <w:p>
      <w:pPr>
        <w:spacing w:line="360" w:lineRule="auto"/>
        <w:jc w:val="both"/>
      </w:pPr>
      <w:r>
        <w:rPr>
          <w:rFonts w:ascii="Times New Roman" w:hAnsi="Times New Roman"/>
          <w:sz w:val="24"/>
        </w:rPr>
        <w:t>- **Intellectual Property &amp; Competitive Landscape**</w:t>
      </w:r>
    </w:p>
    <w:p>
      <w:pPr>
        <w:spacing w:line="360" w:lineRule="auto"/>
        <w:jc w:val="both"/>
      </w:pPr>
      <w:r>
        <w:rPr>
          <w:rFonts w:ascii="Times New Roman" w:hAnsi="Times New Roman"/>
          <w:sz w:val="24"/>
        </w:rPr>
        <w:t>- Review the scope and geographic coverage of the 78 granted and 22 pending patents; assess freedom to operate.</w:t>
      </w:r>
    </w:p>
    <w:p>
      <w:pPr>
        <w:spacing w:line="360" w:lineRule="auto"/>
        <w:jc w:val="both"/>
      </w:pPr>
      <w:r>
        <w:rPr>
          <w:rFonts w:ascii="Times New Roman" w:hAnsi="Times New Roman"/>
          <w:sz w:val="24"/>
        </w:rPr>
        <w:t>- Identify key competitors and StoreDot’s defensibility against emerging battery technologies beyond 2025.</w:t>
      </w:r>
    </w:p>
    <w:p>
      <w:pPr>
        <w:spacing w:line="360" w:lineRule="auto"/>
        <w:jc w:val="both"/>
      </w:pPr>
      <w:r>
        <w:rPr>
          <w:rFonts w:ascii="Times New Roman" w:hAnsi="Times New Roman"/>
          <w:sz w:val="24"/>
        </w:rPr>
        <w:t>- Understand potential patent litigation risks or challenges.</w:t>
      </w:r>
    </w:p>
    <w:p>
      <w:pPr>
        <w:spacing w:line="360" w:lineRule="auto"/>
        <w:jc w:val="both"/>
      </w:pPr>
      <w:r>
        <w:rPr>
          <w:rFonts w:ascii="Times New Roman" w:hAnsi="Times New Roman"/>
          <w:sz w:val="24"/>
        </w:rPr>
        <w:t>- **Commercialization &amp; OEM Partnerships**</w:t>
      </w:r>
    </w:p>
    <w:p>
      <w:pPr>
        <w:spacing w:line="360" w:lineRule="auto"/>
        <w:jc w:val="both"/>
      </w:pPr>
      <w:r>
        <w:rPr>
          <w:rFonts w:ascii="Times New Roman" w:hAnsi="Times New Roman"/>
          <w:sz w:val="24"/>
        </w:rPr>
        <w:t>- Get a list of the &gt;15 OEMs and manufacturing partners currently testing the technology, with status updates and timelines.</w:t>
      </w:r>
    </w:p>
    <w:p>
      <w:pPr>
        <w:spacing w:line="360" w:lineRule="auto"/>
        <w:jc w:val="both"/>
      </w:pPr>
      <w:r>
        <w:rPr>
          <w:rFonts w:ascii="Times New Roman" w:hAnsi="Times New Roman"/>
          <w:sz w:val="24"/>
        </w:rPr>
        <w:t>- Clarify the terms and exclusivity (if any) of these partnerships and licensing agreements.</w:t>
      </w:r>
    </w:p>
    <w:p>
      <w:pPr>
        <w:spacing w:line="360" w:lineRule="auto"/>
        <w:jc w:val="both"/>
      </w:pPr>
      <w:r>
        <w:rPr>
          <w:rFonts w:ascii="Times New Roman" w:hAnsi="Times New Roman"/>
          <w:sz w:val="24"/>
        </w:rPr>
        <w:t>- Understand StoreDot’s go-to-market strategy and production readiness for 2024.</w:t>
      </w:r>
    </w:p>
    <w:p>
      <w:pPr>
        <w:spacing w:line="360" w:lineRule="auto"/>
        <w:jc w:val="both"/>
      </w:pPr>
      <w:r>
        <w:rPr>
          <w:rFonts w:ascii="Times New Roman" w:hAnsi="Times New Roman"/>
          <w:sz w:val="24"/>
        </w:rPr>
        <w:t>- **Manufacturing &amp; Scalability**</w:t>
      </w:r>
    </w:p>
    <w:p>
      <w:pPr>
        <w:spacing w:line="360" w:lineRule="auto"/>
        <w:jc w:val="both"/>
      </w:pPr>
      <w:r>
        <w:rPr>
          <w:rFonts w:ascii="Times New Roman" w:hAnsi="Times New Roman"/>
          <w:sz w:val="24"/>
        </w:rPr>
        <w:t>- Confirm compatibility details with existing Li-ion manufacturing lines and any required CAPEX investments for partners.</w:t>
      </w:r>
    </w:p>
    <w:p>
      <w:pPr>
        <w:spacing w:line="360" w:lineRule="auto"/>
        <w:jc w:val="both"/>
      </w:pPr>
      <w:r>
        <w:rPr>
          <w:rFonts w:ascii="Times New Roman" w:hAnsi="Times New Roman"/>
          <w:sz w:val="24"/>
        </w:rPr>
        <w:t>- Assess supply chain risks, especially for silicon-dominant anodes and semi-solid materials.</w:t>
      </w:r>
    </w:p>
    <w:p>
      <w:pPr>
        <w:spacing w:line="360" w:lineRule="auto"/>
        <w:jc w:val="both"/>
      </w:pPr>
      <w:r>
        <w:rPr>
          <w:rFonts w:ascii="Times New Roman" w:hAnsi="Times New Roman"/>
          <w:sz w:val="24"/>
        </w:rPr>
        <w:t>- Request pilot production data or scale-up plans to meet mass-market demand.</w:t>
      </w:r>
    </w:p>
    <w:p>
      <w:pPr>
        <w:spacing w:line="360" w:lineRule="auto"/>
        <w:jc w:val="both"/>
      </w:pPr>
      <w:r>
        <w:rPr>
          <w:rFonts w:ascii="Times New Roman" w:hAnsi="Times New Roman"/>
          <w:sz w:val="24"/>
        </w:rPr>
        <w:t>- **Financials &amp; Business Model**</w:t>
      </w:r>
    </w:p>
    <w:p>
      <w:pPr>
        <w:spacing w:line="360" w:lineRule="auto"/>
        <w:jc w:val="both"/>
      </w:pPr>
      <w:r>
        <w:rPr>
          <w:rFonts w:ascii="Times New Roman" w:hAnsi="Times New Roman"/>
          <w:sz w:val="24"/>
        </w:rPr>
        <w:t>- Obtain detailed cost structure and pricing model for licensing and/or cell sales.</w:t>
      </w:r>
    </w:p>
    <w:p>
      <w:pPr>
        <w:spacing w:line="360" w:lineRule="auto"/>
        <w:jc w:val="both"/>
      </w:pPr>
      <w:r>
        <w:rPr>
          <w:rFonts w:ascii="Times New Roman" w:hAnsi="Times New Roman"/>
          <w:sz w:val="24"/>
        </w:rPr>
        <w:t>- Understand revenue projections, margins, and capital requirements through 2028.</w:t>
      </w:r>
    </w:p>
    <w:p>
      <w:pPr>
        <w:spacing w:line="360" w:lineRule="auto"/>
        <w:jc w:val="both"/>
      </w:pPr>
      <w:r>
        <w:rPr>
          <w:rFonts w:ascii="Times New Roman" w:hAnsi="Times New Roman"/>
          <w:sz w:val="24"/>
        </w:rPr>
        <w:t>- Clarify how StoreDot plans to compete on cost with incumbent battery suppliers.</w:t>
      </w:r>
    </w:p>
    <w:p>
      <w:pPr>
        <w:spacing w:line="360" w:lineRule="auto"/>
        <w:jc w:val="both"/>
      </w:pPr>
      <w:r>
        <w:rPr>
          <w:rFonts w:ascii="Times New Roman" w:hAnsi="Times New Roman"/>
          <w:sz w:val="24"/>
        </w:rPr>
        <w:t>- **Regulatory &amp; Safety**</w:t>
      </w:r>
    </w:p>
    <w:p>
      <w:pPr>
        <w:spacing w:line="360" w:lineRule="auto"/>
        <w:jc w:val="both"/>
      </w:pPr>
      <w:r>
        <w:rPr>
          <w:rFonts w:ascii="Times New Roman" w:hAnsi="Times New Roman"/>
          <w:sz w:val="24"/>
        </w:rPr>
        <w:t>- Request safety testing results and certifications relevant to automotive standards.</w:t>
      </w:r>
    </w:p>
    <w:p>
      <w:pPr>
        <w:spacing w:line="360" w:lineRule="auto"/>
        <w:jc w:val="both"/>
      </w:pPr>
      <w:r>
        <w:rPr>
          <w:rFonts w:ascii="Times New Roman" w:hAnsi="Times New Roman"/>
          <w:sz w:val="24"/>
        </w:rPr>
        <w:t>- Understand regulatory hurdles in key markets (US, EU, China).</w:t>
      </w:r>
    </w:p>
    <w:p>
      <w:pPr>
        <w:spacing w:line="360" w:lineRule="auto"/>
        <w:jc w:val="both"/>
      </w:pPr>
      <w:r>
        <w:rPr>
          <w:rFonts w:ascii="Times New Roman" w:hAnsi="Times New Roman"/>
          <w:sz w:val="24"/>
        </w:rPr>
        <w:t>- **Team &amp; Execution Risk**</w:t>
      </w:r>
    </w:p>
    <w:p>
      <w:pPr>
        <w:spacing w:line="360" w:lineRule="auto"/>
        <w:jc w:val="both"/>
      </w:pPr>
      <w:r>
        <w:rPr>
          <w:rFonts w:ascii="Times New Roman" w:hAnsi="Times New Roman"/>
          <w:sz w:val="24"/>
        </w:rPr>
        <w:t>- Assess depth of technical and commercial team beyond leadership bios.</w:t>
      </w:r>
    </w:p>
    <w:p>
      <w:pPr>
        <w:spacing w:line="360" w:lineRule="auto"/>
        <w:jc w:val="both"/>
      </w:pPr>
      <w:r>
        <w:rPr>
          <w:rFonts w:ascii="Times New Roman" w:hAnsi="Times New Roman"/>
          <w:sz w:val="24"/>
        </w:rPr>
        <w:t>- Understand hiring plans and potential gaps in scaling operations globally.</w:t>
      </w:r>
    </w:p>
    <w:p>
      <w:pPr>
        <w:spacing w:line="360" w:lineRule="auto"/>
        <w:jc w:val="both"/>
      </w:pPr>
      <w:r>
        <w:rPr>
          <w:rFonts w:ascii="Times New Roman" w:hAnsi="Times New Roman"/>
          <w:sz w:val="24"/>
        </w:rPr>
        <w:t>- **Next Steps**</w:t>
      </w:r>
    </w:p>
    <w:p>
      <w:pPr>
        <w:spacing w:line="360" w:lineRule="auto"/>
        <w:jc w:val="both"/>
      </w:pPr>
      <w:r>
        <w:rPr>
          <w:rFonts w:ascii="Times New Roman" w:hAnsi="Times New Roman"/>
          <w:sz w:val="24"/>
        </w:rPr>
        <w:t>- Schedule technical deep-dive with R&amp;D and CTO.</w:t>
      </w:r>
    </w:p>
    <w:p>
      <w:pPr>
        <w:spacing w:line="360" w:lineRule="auto"/>
        <w:jc w:val="both"/>
      </w:pPr>
      <w:r>
        <w:rPr>
          <w:rFonts w:ascii="Times New Roman" w:hAnsi="Times New Roman"/>
          <w:sz w:val="24"/>
        </w:rPr>
        <w:t>- Conduct reference checks with OEM partners.</w:t>
      </w:r>
    </w:p>
    <w:p>
      <w:pPr>
        <w:spacing w:line="360" w:lineRule="auto"/>
        <w:jc w:val="both"/>
      </w:pPr>
      <w:r>
        <w:rPr>
          <w:rFonts w:ascii="Times New Roman" w:hAnsi="Times New Roman"/>
          <w:sz w:val="24"/>
        </w:rPr>
        <w:t>- Engage independent battery experts for technology due diligence.</w:t>
      </w:r>
    </w:p>
    <w:p>
      <w:pPr>
        <w:spacing w:line="360" w:lineRule="auto"/>
        <w:jc w:val="both"/>
      </w:pPr>
      <w:r>
        <w:rPr>
          <w:rFonts w:ascii="Times New Roman" w:hAnsi="Times New Roman"/>
          <w:sz w:val="24"/>
        </w:rPr>
        <w:t>- Review detailed financial model and licensing agreements.</w:t>
      </w:r>
    </w:p>
    <w:p>
      <w:pPr>
        <w:spacing w:line="360" w:lineRule="auto"/>
        <w:jc w:val="both"/>
      </w:pPr>
      <w:r>
        <w:rPr>
          <w:rFonts w:ascii="Times New Roman" w:hAnsi="Times New Roman"/>
          <w:sz w:val="24"/>
        </w:rPr>
        <w:t>No follow-up questions if these areas are clarified satisfactorily.</w:t>
      </w:r>
    </w:p>
    <w:p>
      <w:pPr>
        <w:spacing w:after="0"/>
      </w:pPr>
    </w:p>
    <w:p>
      <w:pPr>
        <w:spacing w:line="360" w:lineRule="auto" w:after="120"/>
        <w:jc w:val="both"/>
      </w:pPr>
      <w:r>
        <w:rPr>
          <w:rFonts w:ascii="Times New Roman" w:hAnsi="Times New Roman"/>
          <w:b/>
          <w:sz w:val="24"/>
        </w:rPr>
        <w:t>16. FIGURES &amp; VISUALS</w:t>
      </w:r>
    </w:p>
    <w:p>
      <w:pPr>
        <w:spacing w:after="0"/>
      </w:pPr>
    </w:p>
    <w:p>
      <w:pPr>
        <w:spacing w:line="360" w:lineRule="auto" w:after="120"/>
        <w:jc w:val="both"/>
      </w:pPr>
      <w:r>
        <w:rPr>
          <w:rFonts w:ascii="Times New Roman" w:hAnsi="Times New Roman"/>
          <w:b/>
          <w:sz w:val="24"/>
        </w:rPr>
        <w:t>17. APPENDIX: ADDITIONAL TABLES</w:t>
      </w:r>
    </w:p>
    <w:p>
      <w:pPr>
        <w:spacing w:after="0"/>
      </w:pPr>
    </w:p>
    <w:p>
      <w:pPr>
        <w:spacing w:line="360" w:lineRule="auto" w:after="120"/>
        <w:jc w:val="both"/>
      </w:pPr>
      <w:r>
        <w:rPr>
          <w:rFonts w:ascii="Times New Roman" w:hAnsi="Times New Roman"/>
          <w:b/>
          <w:sz w:val="24"/>
        </w:rPr>
        <w:t>18. DISCUSSION &amp; ANALYST COMMENTARY</w:t>
      </w:r>
    </w:p>
    <w:p>
      <w:pPr>
        <w:spacing w:line="360" w:lineRule="auto"/>
        <w:jc w:val="both"/>
      </w:pPr>
      <w:r>
        <w:rPr>
          <w:rFonts w:ascii="Times New Roman" w:hAnsi="Times New Roman"/>
          <w:sz w:val="24"/>
        </w:rPr>
        <w:t>**Analyst Commentary on StoreDot Investment Memo**</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 Key Strengths</w:t>
      </w:r>
    </w:p>
    <w:p>
      <w:pPr>
        <w:spacing w:line="360" w:lineRule="auto"/>
        <w:jc w:val="both"/>
      </w:pPr>
      <w:r>
        <w:rPr>
          <w:rFonts w:ascii="Times New Roman" w:hAnsi="Times New Roman"/>
          <w:sz w:val="24"/>
        </w:rPr>
        <w:t>- **Technological Differentiation &amp; Lead:** StoreDot’s silicon-dominant anode lithium-ion battery technology claims a 3-5 year lead in extreme fast charging (XFC), enabling 100 miles of range in 5-10 minutes. This addresses a critical EV adoption barrier—charging time—potentially transforming user experience and accelerating mass EV adoption.</w:t>
      </w:r>
    </w:p>
    <w:p>
      <w:pPr>
        <w:spacing w:line="360" w:lineRule="auto"/>
        <w:jc w:val="both"/>
      </w:pPr>
      <w:r>
        <w:rPr>
          <w:rFonts w:ascii="Times New Roman" w:hAnsi="Times New Roman"/>
          <w:sz w:val="24"/>
        </w:rPr>
        <w:t>- **Strong IP Position:** With 78 granted US patents and 22 pending, StoreDot has built a robust intellectual property moat, which is crucial in a highly competitive battery tech landscape.</w:t>
      </w:r>
    </w:p>
    <w:p>
      <w:pPr>
        <w:spacing w:line="360" w:lineRule="auto"/>
        <w:jc w:val="both"/>
      </w:pPr>
      <w:r>
        <w:rPr>
          <w:rFonts w:ascii="Times New Roman" w:hAnsi="Times New Roman"/>
          <w:sz w:val="24"/>
        </w:rPr>
        <w:t>- **OEM Partnerships:** Engagement with over 15 OEMs and manufacturing partners demonstrates early industry validation and potential for rapid commercialization through licensing rather than capital-intensive manufacturing.</w:t>
      </w:r>
    </w:p>
    <w:p>
      <w:pPr>
        <w:spacing w:line="360" w:lineRule="auto"/>
        <w:jc w:val="both"/>
      </w:pPr>
      <w:r>
        <w:rPr>
          <w:rFonts w:ascii="Times New Roman" w:hAnsi="Times New Roman"/>
          <w:sz w:val="24"/>
        </w:rPr>
        <w:t>- **Scalability &amp; Compatibility:** The technology’s compatibility with existing lithium-ion manufacturing lines reduces barriers to scale and cost, enhancing adoption prospects.</w:t>
      </w:r>
    </w:p>
    <w:p>
      <w:pPr>
        <w:spacing w:line="360" w:lineRule="auto"/>
        <w:jc w:val="both"/>
      </w:pPr>
      <w:r>
        <w:rPr>
          <w:rFonts w:ascii="Times New Roman" w:hAnsi="Times New Roman"/>
          <w:sz w:val="24"/>
        </w:rPr>
        <w:t>- **Clear Roadmap:** A defined technology evolution path toward semi-solid and post-lithium batteries through 2032 aligns with industry trends and future-proofs the business.</w:t>
      </w:r>
    </w:p>
    <w:p>
      <w:pPr>
        <w:spacing w:line="360" w:lineRule="auto"/>
        <w:jc w:val="both"/>
      </w:pPr>
      <w:r>
        <w:rPr>
          <w:rFonts w:ascii="Times New Roman" w:hAnsi="Times New Roman"/>
          <w:sz w:val="24"/>
        </w:rPr>
        <w:t>- **ESG Alignment:** Cobalt reduction and improved sustainability profile support growing ESG investment mandates and regulatory trends favoring cleaner technologies.</w:t>
      </w:r>
    </w:p>
    <w:p>
      <w:pPr>
        <w:spacing w:line="360" w:lineRule="auto"/>
        <w:jc w:val="both"/>
      </w:pPr>
      <w:r>
        <w:rPr>
          <w:rFonts w:ascii="Times New Roman" w:hAnsi="Times New Roman"/>
          <w:sz w:val="24"/>
        </w:rPr>
        <w:t>### Key Weaknesses</w:t>
      </w:r>
    </w:p>
    <w:p>
      <w:pPr>
        <w:spacing w:line="360" w:lineRule="auto"/>
        <w:jc w:val="both"/>
      </w:pPr>
      <w:r>
        <w:rPr>
          <w:rFonts w:ascii="Times New Roman" w:hAnsi="Times New Roman"/>
          <w:sz w:val="24"/>
        </w:rPr>
        <w:t>- **Lack of Financial Transparency:** No disclosed financials, funding stage, or runway information significantly hinder risk assessment and valuation.</w:t>
      </w:r>
    </w:p>
    <w:p>
      <w:pPr>
        <w:spacing w:line="360" w:lineRule="auto"/>
        <w:jc w:val="both"/>
      </w:pPr>
      <w:r>
        <w:rPr>
          <w:rFonts w:ascii="Times New Roman" w:hAnsi="Times New Roman"/>
          <w:sz w:val="24"/>
        </w:rPr>
        <w:t>- **Unverified Technical Claims:** Absence of independent third-party validation on critical metrics such as cycle life (&gt;1200 cycles without degradation), safety, and real-world performance raises execution risk.</w:t>
      </w:r>
    </w:p>
    <w:p>
      <w:pPr>
        <w:spacing w:line="360" w:lineRule="auto"/>
        <w:jc w:val="both"/>
      </w:pPr>
      <w:r>
        <w:rPr>
          <w:rFonts w:ascii="Times New Roman" w:hAnsi="Times New Roman"/>
          <w:sz w:val="24"/>
        </w:rPr>
        <w:t>- **Market Size Metrics Confusing:** TAM/SAM/SOM figures ($120K/$25K/$5K) appear inconsistent or incomplete, suggesting a need for clearer market sizing and revenue potential analysis.</w:t>
      </w:r>
    </w:p>
    <w:p>
      <w:pPr>
        <w:spacing w:line="360" w:lineRule="auto"/>
        <w:jc w:val="both"/>
      </w:pPr>
      <w:r>
        <w:rPr>
          <w:rFonts w:ascii="Times New Roman" w:hAnsi="Times New Roman"/>
          <w:sz w:val="24"/>
        </w:rPr>
        <w:t>- **Limited Team Information:** Beyond the founder, little detail on the broader technical and commercial team raises questions about execution capacity at scale.</w:t>
      </w:r>
    </w:p>
    <w:p>
      <w:pPr>
        <w:spacing w:line="360" w:lineRule="auto"/>
        <w:jc w:val="both"/>
      </w:pPr>
      <w:r>
        <w:rPr>
          <w:rFonts w:ascii="Times New Roman" w:hAnsi="Times New Roman"/>
          <w:sz w:val="24"/>
        </w:rPr>
        <w:t>- **Competitive Landscape Challenges:** Competitors like QuantumScape and Sila Nanotechnologies also target fast charging and silicon anode tech, with potential to narrow StoreDot’s lead if scale-up or commercialization hurdles are overcome.</w:t>
      </w:r>
    </w:p>
    <w:p>
      <w:pPr>
        <w:spacing w:line="360" w:lineRule="auto"/>
        <w:jc w:val="both"/>
      </w:pPr>
      <w:r>
        <w:rPr>
          <w:rFonts w:ascii="Times New Roman" w:hAnsi="Times New Roman"/>
          <w:sz w:val="24"/>
        </w:rPr>
        <w:t>### Opportunities</w:t>
      </w:r>
    </w:p>
    <w:p>
      <w:pPr>
        <w:spacing w:line="360" w:lineRule="auto"/>
        <w:jc w:val="both"/>
      </w:pPr>
      <w:r>
        <w:rPr>
          <w:rFonts w:ascii="Times New Roman" w:hAnsi="Times New Roman"/>
          <w:sz w:val="24"/>
        </w:rPr>
        <w:t>- **Mass EV Adoption Catalyst:** If StoreDot’s technology delivers as promised, it could become the industry standard for fast charging, unlocking significant licensing revenue streams.</w:t>
      </w:r>
    </w:p>
    <w:p>
      <w:pPr>
        <w:spacing w:line="360" w:lineRule="auto"/>
        <w:jc w:val="both"/>
      </w:pPr>
      <w:r>
        <w:rPr>
          <w:rFonts w:ascii="Times New Roman" w:hAnsi="Times New Roman"/>
          <w:sz w:val="24"/>
        </w:rPr>
        <w:t>- **Strategic Acquisitions:** Potential for acquisition by major OEMs or battery manufacturers seeking to integrate XFC tech, offering attractive exit pathways.</w:t>
      </w:r>
    </w:p>
    <w:p>
      <w:pPr>
        <w:spacing w:line="360" w:lineRule="auto"/>
        <w:jc w:val="both"/>
      </w:pPr>
      <w:r>
        <w:rPr>
          <w:rFonts w:ascii="Times New Roman" w:hAnsi="Times New Roman"/>
          <w:sz w:val="24"/>
        </w:rPr>
        <w:t>- **Expansion Beyond EVs:** The technology could extend to other battery-dependent sectors (e.g., consumer electronics, grid storage), diversifying revenue.</w:t>
      </w:r>
    </w:p>
    <w:p>
      <w:pPr>
        <w:spacing w:line="360" w:lineRule="auto"/>
        <w:jc w:val="both"/>
      </w:pPr>
      <w:r>
        <w:rPr>
          <w:rFonts w:ascii="Times New Roman" w:hAnsi="Times New Roman"/>
          <w:sz w:val="24"/>
        </w:rPr>
        <w:t>- **ESG &amp; Regulatory Tailwinds:** Increasing regulatory pressure on emissions and raw material sourcing could favor StoreDot’s cobalt-reduced, fast-charging batteries.</w:t>
      </w:r>
    </w:p>
    <w:p>
      <w:pPr>
        <w:spacing w:line="360" w:lineRule="auto"/>
        <w:jc w:val="both"/>
      </w:pPr>
      <w:r>
        <w:rPr>
          <w:rFonts w:ascii="Times New Roman" w:hAnsi="Times New Roman"/>
          <w:sz w:val="24"/>
        </w:rPr>
        <w:t>### Risks</w:t>
      </w:r>
    </w:p>
    <w:p>
      <w:pPr>
        <w:spacing w:line="360" w:lineRule="auto"/>
        <w:jc w:val="both"/>
      </w:pPr>
      <w:r>
        <w:rPr>
          <w:rFonts w:ascii="Times New Roman" w:hAnsi="Times New Roman"/>
          <w:sz w:val="24"/>
        </w:rPr>
        <w:t>- **Technical &amp; Scale-Up Risk:** Transitioning from pilot to mass production by 2025 is ambitious; manufacturing scale-up, supply chain constraints (silicon anode materials), and quality control pose significant risks.</w:t>
      </w:r>
    </w:p>
    <w:p>
      <w:pPr>
        <w:spacing w:line="360" w:lineRule="auto"/>
        <w:jc w:val="both"/>
      </w:pPr>
      <w:r>
        <w:rPr>
          <w:rFonts w:ascii="Times New Roman" w:hAnsi="Times New Roman"/>
          <w:sz w:val="24"/>
        </w:rPr>
        <w:t>- **Competitive Disruption:** Emerging solid-state and alternative battery chemistries could leapfrog StoreDot’s technology, especially if competitors overcome their own scale-up challenges faster.</w:t>
      </w:r>
    </w:p>
    <w:p>
      <w:pPr>
        <w:spacing w:line="360" w:lineRule="auto"/>
        <w:jc w:val="both"/>
      </w:pPr>
      <w:r>
        <w:rPr>
          <w:rFonts w:ascii="Times New Roman" w:hAnsi="Times New Roman"/>
          <w:sz w:val="24"/>
        </w:rPr>
        <w:t>- **Commercialization &amp; Adoption Risk:** OEM partnerships are early-stage; exclusivity, licensing terms, and integration timelines remain unclear, potentially delaying revenue realization.</w:t>
      </w:r>
    </w:p>
    <w:p>
      <w:pPr>
        <w:spacing w:line="360" w:lineRule="auto"/>
        <w:jc w:val="both"/>
      </w:pPr>
      <w:r>
        <w:rPr>
          <w:rFonts w:ascii="Times New Roman" w:hAnsi="Times New Roman"/>
          <w:sz w:val="24"/>
        </w:rPr>
        <w:t>- **Regulatory &amp; Safety Compliance:** Automotive battery standards are stringent; failure to meet safety certifications could delay or block market entry.</w:t>
      </w:r>
    </w:p>
    <w:p>
      <w:pPr>
        <w:spacing w:line="360" w:lineRule="auto"/>
        <w:jc w:val="both"/>
      </w:pPr>
      <w:r>
        <w:rPr>
          <w:rFonts w:ascii="Times New Roman" w:hAnsi="Times New Roman"/>
          <w:sz w:val="24"/>
        </w:rPr>
        <w:t>- **Financial &amp; Funding Uncertainty:** Unknown funding status and lack of financial data raise concerns about runway and ability to execute commercialization plans.</w:t>
      </w:r>
    </w:p>
    <w:p>
      <w:pPr>
        <w:spacing w:line="360" w:lineRule="auto"/>
        <w:jc w:val="both"/>
      </w:pPr>
      <w:r>
        <w:rPr>
          <w:rFonts w:ascii="Times New Roman" w:hAnsi="Times New Roman"/>
          <w:sz w:val="24"/>
        </w:rPr>
        <w:t>### Actionable Recommendations for Investors</w:t>
      </w:r>
    </w:p>
    <w:p>
      <w:pPr>
        <w:spacing w:line="360" w:lineRule="auto"/>
        <w:jc w:val="both"/>
      </w:pPr>
      <w:r>
        <w:rPr>
          <w:rFonts w:ascii="Times New Roman" w:hAnsi="Times New Roman"/>
          <w:sz w:val="24"/>
        </w:rPr>
        <w:t>1. **Demand Independent Technical Validation:** Prioritize obtaining third-party test results on charging speed, cycle life, safety, and performance under real-world conditions before committing capital.</w:t>
      </w:r>
    </w:p>
    <w:p>
      <w:pPr>
        <w:spacing w:line="360" w:lineRule="auto"/>
        <w:jc w:val="both"/>
      </w:pPr>
      <w:r>
        <w:rPr>
          <w:rFonts w:ascii="Times New Roman" w:hAnsi="Times New Roman"/>
          <w:sz w:val="24"/>
        </w:rPr>
        <w:t>2. **Clarify Financials &amp; Funding:** Insist on detailed financial disclosures, including cash runway, capital requirements, licensing revenue models, and cost structure to assess sustainability and valuation.</w:t>
      </w:r>
    </w:p>
    <w:p>
      <w:pPr>
        <w:spacing w:line="360" w:lineRule="auto"/>
        <w:jc w:val="both"/>
      </w:pPr>
      <w:r>
        <w:rPr>
          <w:rFonts w:ascii="Times New Roman" w:hAnsi="Times New Roman"/>
          <w:sz w:val="24"/>
        </w:rPr>
        <w:t>3. **Deep Dive into OEM Partnerships:** Verify the status, exclusivity, and commercial terms of OEM agreements to gauge market traction and revenue visibility.</w:t>
      </w:r>
    </w:p>
    <w:p>
      <w:pPr>
        <w:spacing w:line="360" w:lineRule="auto"/>
        <w:jc w:val="both"/>
      </w:pPr>
      <w:r>
        <w:rPr>
          <w:rFonts w:ascii="Times New Roman" w:hAnsi="Times New Roman"/>
          <w:sz w:val="24"/>
        </w:rPr>
        <w:t>4. **Assess Manufacturing &amp; Supply Chain Readiness:** Evaluate pilot production data, scale-up plans, and supply chain robustness, especially for silicon anode materials.</w:t>
      </w:r>
    </w:p>
    <w:p>
      <w:pPr>
        <w:spacing w:line="360" w:lineRule="auto"/>
        <w:jc w:val="both"/>
      </w:pPr>
      <w:r>
        <w:rPr>
          <w:rFonts w:ascii="Times New Roman" w:hAnsi="Times New Roman"/>
          <w:sz w:val="24"/>
        </w:rPr>
        <w:t>5. **Monitor Competitive Landscape:** Keep abreast of competitor progress, especially solid-state battery developments, to reassess StoreDot’s technology lead and market positioning.</w:t>
      </w:r>
    </w:p>
    <w:p>
      <w:pPr>
        <w:spacing w:line="360" w:lineRule="auto"/>
        <w:jc w:val="both"/>
      </w:pPr>
      <w:r>
        <w:rPr>
          <w:rFonts w:ascii="Times New Roman" w:hAnsi="Times New Roman"/>
          <w:sz w:val="24"/>
        </w:rPr>
        <w:t>6. **Engage Expert Due Diligence:** Utilize independent battery technology experts to validate StoreDot’s claims and assess risks.</w:t>
      </w:r>
    </w:p>
    <w:p>
      <w:pPr>
        <w:spacing w:line="360" w:lineRule="auto"/>
        <w:jc w:val="both"/>
      </w:pPr>
      <w:r>
        <w:rPr>
          <w:rFonts w:ascii="Times New Roman" w:hAnsi="Times New Roman"/>
          <w:sz w:val="24"/>
        </w:rPr>
        <w:t>7. **Plan for Staged Investment:** Consider a milestone-based investment approach tied to technical validation, OEM adoption, and pilot production scale-up to mitigate risk.</w:t>
      </w:r>
    </w:p>
    <w:p>
      <w:pPr>
        <w:spacing w:line="360" w:lineRule="auto"/>
        <w:jc w:val="both"/>
      </w:pPr>
      <w:r>
        <w:rPr>
          <w:rFonts w:ascii="Times New Roman" w:hAnsi="Times New Roman"/>
          <w:sz w:val="24"/>
        </w:rPr>
        <w:t>### Summary</w:t>
      </w:r>
    </w:p>
    <w:p>
      <w:pPr>
        <w:spacing w:line="360" w:lineRule="auto"/>
        <w:jc w:val="both"/>
      </w:pPr>
      <w:r>
        <w:rPr>
          <w:rFonts w:ascii="Times New Roman" w:hAnsi="Times New Roman"/>
          <w:sz w:val="24"/>
        </w:rPr>
        <w:t>StoreDot presents a compelling technological solution to a critical EV adoption barrier with a strong IP base and promising OEM partnerships. However, significant uncertainties remain around technical validation, financial transparency, and commercialization execution. Investors should adopt a cautious, data-driven approach, emphasizing independent due diligence and staged capital deployment to balance the high upside potential against execution and market risks.</w:t>
      </w:r>
    </w:p>
    <w:p>
      <w:pPr>
        <w:spacing w:line="360" w:lineRule="auto"/>
        <w:jc w:val="both"/>
      </w:pPr>
      <w:r>
        <w:rPr>
          <w:rFonts w:ascii="Times New Roman" w:hAnsi="Times New Roman"/>
          <w:sz w:val="24"/>
        </w:rPr>
        <w:t>Generated by VC Analysis System on July 13, 2025</w:t>
      </w:r>
    </w:p>
    <w:p>
      <w:pPr>
        <w:spacing w:line="360" w:lineRule="auto"/>
        <w:jc w:val="both"/>
      </w:pPr>
      <w:r>
        <w:rPr>
          <w:rFonts w:ascii="Times New Roman" w:hAnsi="Times New Roman"/>
          <w:sz w:val="24"/>
        </w:rPr>
        <w:t>Data Sources: Company documents, market research, competitive intelligence, technical analysis</w:t>
      </w:r>
    </w:p>
    <w:p>
      <w:pPr>
        <w:spacing w:line="360" w:lineRule="auto"/>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6C61C" w14:textId="77777777" w:rsidR="00865215" w:rsidRDefault="00865215">
      <w:r>
        <w:separator/>
      </w:r>
    </w:p>
  </w:endnote>
  <w:endnote w:type="continuationSeparator" w:id="0">
    <w:p w14:paraId="2F469D8B" w14:textId="77777777" w:rsidR="00865215" w:rsidRDefault="00865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E6979" w14:textId="77777777" w:rsidR="00865215" w:rsidRDefault="00865215">
      <w:r>
        <w:separator/>
      </w:r>
    </w:p>
  </w:footnote>
  <w:footnote w:type="continuationSeparator" w:id="0">
    <w:p w14:paraId="7819D413" w14:textId="77777777" w:rsidR="00865215" w:rsidRDefault="008652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2DE1"/>
    <w:rsid w:val="00990D45"/>
    <w:rsid w:val="0099453E"/>
    <w:rsid w:val="0099589D"/>
    <w:rsid w:val="009A3A09"/>
    <w:rsid w:val="009A4559"/>
    <w:rsid w:val="009B2F00"/>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8</Words>
  <Characters>47</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54</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24</cp:revision>
  <cp:lastPrinted>2012-08-22T12:07:00Z</cp:lastPrinted>
  <dcterms:created xsi:type="dcterms:W3CDTF">2025-07-11T11:27:00Z</dcterms:created>
  <dcterms:modified xsi:type="dcterms:W3CDTF">2025-07-13T12:37:00Z</dcterms:modified>
</cp:coreProperties>
</file>