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15, 2025 at 05:53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Pioneering solidstate battery technology with a proprietary ceramic separator that enables fast charging and high energy density, positioning them as a leader in nextgeneration EV batteries.</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Focus on silicondominant anode materials that can be integrated into existing lithiumion battery manufacturing processes, enabling scalable improvements without complete redesigns.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 Differentiator: Utilizes silicon nanowire anode technology to deliver industryleading energy density and fast charging capabilities, with a focus on highperformance applications.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deep-tech startup focused on enabling extreme fast charging (XFC) battery technology for electric vehicles (EVs), aiming to eliminate "charging anxiety" by delivering a 100-mile charge in 5 to 10 minutes. Their business model centers on licensing their proprietary silicon-dominant anode lithium-ion battery technology, which is compatible with existing Li-ion manufacturing lines, allowing scalable, cost-effective integration with OEMs and battery manufacturers. StoreDot targets automotive OEMs and battery producers as primary customers, leveraging partnerships with over 15 OEMs and manufacturing partners worldwide, positioning itself as a critical enabler for mass EV adoption by 2025. The company’s go-to-market strategy involves commercial readiness by 2024-2025, supported by a strong patent portfolio and a roadmap advancing toward semi-solid and post-lithium batteries for future performance gains. Recent updates indicate no major pivots but emphasize StoreDot’s lead over competing technologies in scalability, cost, and charging speed, reinforcing its competitive moat in the EV battery space.</w:t>
      </w:r>
    </w:p>
    <w:p>
      <w:pPr>
        <w:spacing w:line="360" w:lineRule="auto"/>
        <w:ind w:firstLine="0"/>
        <w:jc w:val="both"/>
      </w:pPr>
      <w:r>
        <w:rPr>
          <w:rFonts w:ascii="Times New Roman" w:hAnsi="Times New Roman"/>
          <w:sz w:val="24"/>
        </w:rPr>
        <w:t>Sources: StoreDot April 2023 Corporate Overview; UBS Global EV Battery Makers report (cited); StoreDot patent and technology disclosures.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pioneering deep-tech startup specializing in extreme fast charging (XFC) battery technology for electric vehicles (EVs). The company's mission is to alleviate "charging anxiety" by enabling a 100-mile charge in just 5 to 10 minutes. StoreDot's business model focuses on licensing its proprietary silicon-dominant anode lithium-ion battery technology, which is designed to integrate seamlessly with existing lithium-ion manufacturing lines. This approach allows for scalable and cost-effective adoption by automotive OEMs and battery manufacturers, positioning StoreDot as a pivotal player in the mass adoption of EVs by 2025.</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Extreme fast charging capability, delivering a 100mile charge in 5 to 10 minutes.</w:t>
      </w:r>
    </w:p>
    <w:p>
      <w:pPr>
        <w:spacing w:line="360" w:lineRule="auto"/>
        <w:ind w:firstLine="0"/>
        <w:jc w:val="both"/>
      </w:pPr>
      <w:r>
        <w:rPr>
          <w:rFonts w:ascii="Times New Roman" w:hAnsi="Times New Roman"/>
          <w:sz w:val="24"/>
        </w:rPr>
        <w:t>• Silicondominant anode technology compatible with existing lithiumion manufacturing processes.</w:t>
      </w:r>
    </w:p>
    <w:p>
      <w:pPr>
        <w:spacing w:line="360" w:lineRule="auto"/>
        <w:ind w:firstLine="0"/>
        <w:jc w:val="both"/>
      </w:pPr>
      <w:r>
        <w:rPr>
          <w:rFonts w:ascii="Times New Roman" w:hAnsi="Times New Roman"/>
          <w:sz w:val="24"/>
        </w:rPr>
        <w:t>• Licensing model aimed at automotive OEMs and battery manufacturers.</w:t>
      </w:r>
    </w:p>
    <w:p>
      <w:pPr>
        <w:spacing w:line="360" w:lineRule="auto"/>
        <w:ind w:firstLine="0"/>
        <w:jc w:val="both"/>
      </w:pPr>
      <w:r>
        <w:rPr>
          <w:rFonts w:ascii="Times New Roman" w:hAnsi="Times New Roman"/>
          <w:sz w:val="24"/>
        </w:rPr>
        <w:t>• Strong patent portfolio supporting proprietary technology.</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Designed for seamless integration with existing manufacturing lines, enhancing scalability.</w:t>
      </w:r>
    </w:p>
    <w:p>
      <w:pPr>
        <w:spacing w:line="360" w:lineRule="auto"/>
        <w:ind w:firstLine="0"/>
        <w:jc w:val="both"/>
      </w:pPr>
      <w:r>
        <w:rPr>
          <w:rFonts w:ascii="Times New Roman" w:hAnsi="Times New Roman"/>
          <w:sz w:val="24"/>
        </w:rPr>
        <w:t>• Positioned as a costeffective solution compared to competing technologies.</w:t>
      </w:r>
    </w:p>
    <w:p>
      <w:pPr>
        <w:spacing w:line="360" w:lineRule="auto"/>
        <w:ind w:firstLine="0"/>
        <w:jc w:val="both"/>
      </w:pPr>
      <w:r>
        <w:rPr>
          <w:rFonts w:ascii="Times New Roman" w:hAnsi="Times New Roman"/>
          <w:sz w:val="24"/>
        </w:rPr>
        <w:t>• Emphasizes superior charging speed, reinforcing its competitive advantage.</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Compatible with current lithiumion battery manufacturing infrastructure.</w:t>
      </w:r>
    </w:p>
    <w:p>
      <w:pPr>
        <w:spacing w:line="360" w:lineRule="auto"/>
        <w:ind w:firstLine="0"/>
        <w:jc w:val="both"/>
      </w:pPr>
      <w:r>
        <w:rPr>
          <w:rFonts w:ascii="Times New Roman" w:hAnsi="Times New Roman"/>
          <w:sz w:val="24"/>
        </w:rPr>
        <w:t>• Strategic partnerships with over 15 OEMs and manufacturing partners worldwide.</w:t>
      </w:r>
    </w:p>
    <w:p>
      <w:pPr>
        <w:spacing w:line="360" w:lineRule="auto"/>
        <w:ind w:firstLine="0"/>
        <w:jc w:val="both"/>
      </w:pPr>
      <w:r>
        <w:rPr>
          <w:rFonts w:ascii="Times New Roman" w:hAnsi="Times New Roman"/>
          <w:sz w:val="24"/>
        </w:rPr>
        <w:t>• Focus on scalable integration with OEMs and battery producers.</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opensource or communitydriven aspects are highlighted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Commercial readiness targeted for 20242025.</w:t>
      </w:r>
    </w:p>
    <w:p>
      <w:pPr>
        <w:spacing w:line="360" w:lineRule="auto"/>
        <w:ind w:firstLine="0"/>
        <w:jc w:val="both"/>
      </w:pPr>
      <w:r>
        <w:rPr>
          <w:rFonts w:ascii="Times New Roman" w:hAnsi="Times New Roman"/>
          <w:sz w:val="24"/>
        </w:rPr>
        <w:t>• Advancing towards semisolid and postlithium batteries for future performance improvements.</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StoreDot distinguishes itself from competitors through its extreme fast charging capabilities, which significantly reduce charging times compared to existing solutions. Its technology's compatibility with current manufacturing lines offers a cost-effective and scalable pathway for OEMs and battery manufacturers, further solidifying its competitive moat. The company's strong patent portfolio and strategic partnerships enhance its positioning as a leader in the EV battery space.</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StoreDot's technology presents a compelling solution to a significant barrier in EV adoption—charging time. Its focus on compatibility with existing manufacturing processes is a strategic strength, facilitating easier market entry and adoption. However, the context lacks specific details on the product's cycle life and long-term performance metrics, which are critical for assessing the technology's viability and longevity. Additionally, while the roadmap outlines future advancements, more detailed timelines and milestones would provide greater clarity on the company's strategic direction. Overall, StoreDot's approach and partnerships position it well in the competitive landscape, though further information on performance metrics would strengthen its investment proposition.</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15,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capability of StoreDot's leadership team are critical factors in the company's potential for success in the competitive battery technology sector. Below is an analysis of the three key executives, highlighting their backgrounds, achievements, and potential contributions to StoreDot's strategic goals.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Under his leadership, StoreDot aims to revolutionize the EV market by enabling rapid charging solutions that contribute to a zeroemissions future. Prior to founding StoreDot in 2012, Myersdorf held significant roles, including Senior Director at SanDisk's SSD Business Unit, where he drove the division to generate over $100 million in revenue within three years. His tenure as VP Flash and Operations at msystems was marked by managing strategic sourcing and achieving over $1.5 billion in annual revenue. Myersdorf's extensive experience in technology and operations management, coupled with his academic credentials from the Technion – Israel Institute of Technology, positions him as a visionary leader capable of steering StoreDot towards significant market impact.</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bringing a wealth of financial expertise to the company. His prior experience as CFO of Broadcom Israel involved overseeing numerous mergers and acquisitions, showcasing his capability in managing complex financial transactions. Halberstam's decadelong tenure as CFO EMEA at Convergys, where he managed operations across over 30 countries, highlights his proficiency in handling largescale financial operations. Earlier in his career, he played a pivotal role at Radview Software, leading the company from seed stage to a successful IPO on NASDAQ. His educational background in economics and accounting from BarIlan University, along with his CPA certification, underpin his strategic financial leadership at StoreDot, crucial for navigating the company's growth and investment strategies.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the Chairman of StoreDot, leveraging over 27 years of experience in the automotive industry to guide the company's strategic direction. His previous leadership roles include Group CEO of Tata Motors, where he oversaw operations including Jaguar Land Rover, and President and CEO of General Motors Europe. Forster's tenure at BMW, where he held senior positions such as managing director of BMW South Africa, adds to his extensive automotive expertise. In addition to his role at StoreDot, he holds significant board positions, including Chairman of Vesuvius plc and Senior Independent Director at Babcock International Group. Forster's comprehensive industry knowledge and board experience are invaluable assets to StoreDot as it seeks to expand its influence in the fastevolving battery technology market.</w:t>
      </w:r>
    </w:p>
    <w:p>
      <w:pPr>
        <w:spacing w:line="360" w:lineRule="auto"/>
        <w:ind w:firstLine="0"/>
        <w:jc w:val="both"/>
      </w:pPr>
      <w:r>
        <w:rPr>
          <w:rFonts w:ascii="Times New Roman" w:hAnsi="Times New Roman"/>
          <w:sz w:val="24"/>
        </w:rPr>
        <w:t>In summary, StoreDot's executive team is composed of seasoned professionals with diverse and complementary backgrounds. Their collective expertise in technology innovation, financial management, and automotive industry leadership provides a robust foundation for StoreDot's strategic initiatives and long-term growth prospects.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address key barriers to EV adoption such as charging time and infrastructure limitations. Their technology promises charging times as low as 10 minutes with minimal battery degradation, leveraging scalable, lithium-ion compatible manufacturing processes and a patent portfolio supporting sustainable production, including cobalt reduction. Socially, StoreDot’s innovation targets reducing "charging anxiety," potentially accelerating EV adoption and contributing to lower transportation emissions, aligning with global climate goals. Governance appears strong with experienced leadership from automotive and tech sectors, supported by a global advisory board of EV industry experts. However, there is limited public information on their direct environmental impact metrics, supply chain labor practices, or detailed regulatory compliance beyond technology readiness and patent status. No recent ESG controversies or negative news were identified in available sources.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Explanation: The battery technology sector, particularly for electric vehicles (EVs), is highly competitive with numerous players vying for market dominance. StoreDot faces significant competition from established battery manufacturers and emerging startups that are also developing fastcharging solutions. This competitive landscape could impact StoreDot's ability to capture market share and secure partnerships with key automotive OEMs and battery manufacturers.</w:t>
      </w:r>
    </w:p>
    <w:p>
      <w:pPr>
        <w:spacing w:line="360" w:lineRule="auto"/>
        <w:ind w:firstLine="0"/>
        <w:jc w:val="both"/>
      </w:pPr>
      <w:r>
        <w:rPr>
          <w:rFonts w:ascii="Times New Roman" w:hAnsi="Times New Roman"/>
          <w:sz w:val="24"/>
        </w:rPr>
        <w:t>• Mitigation: StoreDot's strong patent portfolio and established partnerships with over 15 OEMs and manufacturing partners provide a competitive moat. Continued focus on innovation and maintaining technological leadership in extreme fast charging (XFC) capabilities will be crucial. Additionally, leveraging its compatibility with existing Liion manufacturing lines can facilitate easier adoption and integration, providing a strategic advantage.</w:t>
      </w:r>
    </w:p>
    <w:p>
      <w:pPr>
        <w:spacing w:line="360" w:lineRule="auto"/>
        <w:ind w:firstLine="0"/>
        <w:jc w:val="both"/>
      </w:pPr>
      <w:r>
        <w:rPr>
          <w:rFonts w:ascii="Times New Roman" w:hAnsi="Times New Roman"/>
          <w:sz w:val="24"/>
        </w:rPr>
        <w:t>Unknown Financial Health</w:t>
      </w:r>
    </w:p>
    <w:p>
      <w:pPr>
        <w:spacing w:line="360" w:lineRule="auto"/>
        <w:ind w:firstLine="0"/>
        <w:jc w:val="both"/>
      </w:pPr>
      <w:r>
        <w:rPr>
          <w:rFonts w:ascii="Times New Roman" w:hAnsi="Times New Roman"/>
          <w:sz w:val="24"/>
        </w:rPr>
        <w:t>• Explanation: The lack of detailed financial information presents a risk in assessing StoreDot’s current financial stability and its ability to sustain operations until commercial readiness in 20242025. This uncertainty could affect investor confidence and the company’s ability to secure additional funding if needed.</w:t>
      </w:r>
    </w:p>
    <w:p>
      <w:pPr>
        <w:spacing w:line="360" w:lineRule="auto"/>
        <w:ind w:firstLine="0"/>
        <w:jc w:val="both"/>
      </w:pPr>
      <w:r>
        <w:rPr>
          <w:rFonts w:ascii="Times New Roman" w:hAnsi="Times New Roman"/>
          <w:sz w:val="24"/>
        </w:rPr>
        <w:t>• Mitigation: Conducting thorough due diligence to obtain a clearer picture of StoreDot’s financial health is essential. This includes understanding their burn rate, funding runway, and any existing financial commitments. Engaging with StoreDot’s management to gain insights into their financial strategy and contingency plans is also advisable.</w:t>
      </w:r>
    </w:p>
    <w:p>
      <w:pPr>
        <w:spacing w:line="360" w:lineRule="auto"/>
        <w:ind w:firstLine="0"/>
        <w:jc w:val="both"/>
      </w:pPr>
      <w:r>
        <w:rPr>
          <w:rFonts w:ascii="Times New Roman" w:hAnsi="Times New Roman"/>
          <w:sz w:val="24"/>
        </w:rPr>
        <w:t>Technology Maturity</w:t>
      </w:r>
    </w:p>
    <w:p>
      <w:pPr>
        <w:spacing w:line="360" w:lineRule="auto"/>
        <w:ind w:firstLine="0"/>
        <w:jc w:val="both"/>
      </w:pPr>
      <w:r>
        <w:rPr>
          <w:rFonts w:ascii="Times New Roman" w:hAnsi="Times New Roman"/>
          <w:sz w:val="24"/>
        </w:rPr>
        <w:t>• Explanation: While StoreDot’s technology promises significant advancements in charging speed and integration ease, the maturity and scalability of its silicondominant anode lithiumion battery technology remain critical concerns. Any delays or technical setbacks in achieving commercial readiness could hinder market entry and adoption.</w:t>
      </w:r>
    </w:p>
    <w:p>
      <w:pPr>
        <w:spacing w:line="360" w:lineRule="auto"/>
        <w:ind w:firstLine="0"/>
        <w:jc w:val="both"/>
      </w:pPr>
      <w:r>
        <w:rPr>
          <w:rFonts w:ascii="Times New Roman" w:hAnsi="Times New Roman"/>
          <w:sz w:val="24"/>
        </w:rPr>
        <w:t>• Mitigation: StoreDot’s roadmap toward semisolid and postlithium batteries indicates a forwardthinking approach to technology development. Continued investment in R&amp;D and pilot testing with OEM partners will be vital to validate technology performance and scalability. Regular updates on technological milestones and thirdparty validations can help build confidence in their progress.</w:t>
      </w:r>
    </w:p>
    <w:p>
      <w:pPr>
        <w:spacing w:before="240" w:line="360" w:lineRule="auto" w:after="120"/>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Explanation: The EV battery sector is subject to stringent regulatory requirements concerning safety, environmental impact, and manufacturing standards. StoreDot must navigate these regulations across multiple jurisdictions, which could pose challenges in terms of compliance and market entry.</w:t>
      </w:r>
    </w:p>
    <w:p>
      <w:pPr>
        <w:spacing w:line="360" w:lineRule="auto"/>
        <w:ind w:firstLine="0"/>
        <w:jc w:val="both"/>
      </w:pPr>
      <w:r>
        <w:rPr>
          <w:rFonts w:ascii="Times New Roman" w:hAnsi="Times New Roman"/>
          <w:sz w:val="24"/>
        </w:rPr>
        <w:t>• Mitigation: StoreDot should actively engage with regulatory bodies to ensure compliance and stay informed about evolving regulations. Building a dedicated regulatory affairs team to manage these aspects and collaborating with industry groups to influence policy development could mitigate potential regulatory hurdles.</w:t>
      </w:r>
    </w:p>
    <w:p>
      <w:pPr>
        <w:spacing w:line="360" w:lineRule="auto"/>
        <w:ind w:firstLine="0"/>
        <w:jc w:val="both"/>
      </w:pPr>
      <w:r>
        <w:rPr>
          <w:rFonts w:ascii="Times New Roman" w:hAnsi="Times New Roman"/>
          <w:sz w:val="24"/>
        </w:rPr>
        <w:t>Market Timing</w:t>
      </w:r>
    </w:p>
    <w:p>
      <w:pPr>
        <w:spacing w:line="360" w:lineRule="auto"/>
        <w:ind w:firstLine="0"/>
        <w:jc w:val="both"/>
      </w:pPr>
      <w:r>
        <w:rPr>
          <w:rFonts w:ascii="Times New Roman" w:hAnsi="Times New Roman"/>
          <w:sz w:val="24"/>
        </w:rPr>
        <w:t>• Explanation: StoreDot’s commercial readiness target of 20242025 aligns with anticipated growth in EV adoption. However, any shifts in market dynamics, such as changes in consumer preferences, technological breakthroughs by competitors, or macroeconomic factors, could impact the timing and scale of market opportunities.</w:t>
      </w:r>
    </w:p>
    <w:p>
      <w:pPr>
        <w:spacing w:line="360" w:lineRule="auto"/>
        <w:ind w:firstLine="0"/>
        <w:jc w:val="both"/>
      </w:pPr>
      <w:r>
        <w:rPr>
          <w:rFonts w:ascii="Times New Roman" w:hAnsi="Times New Roman"/>
          <w:sz w:val="24"/>
        </w:rPr>
        <w:t>• Mitigation: Maintaining flexibility in its gotomarket strategy and closely monitoring market trends will be essential. StoreDot should develop contingency plans to adapt to market changes and explore strategic partnerships or alliances that can provide additional market insights and distribution channels.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significant potential for the EV market. With a 3-5 year lead on alternative solutions and ongoing testing by multiple OEMs, the technology is commercially ready by 2025. Potential exit scenarios could include acquisition by a major EV manufacturer looking to enhance their charging capabilities or an IPO once the technology is proven in the market. However, more information on the company's financials, market traction, and partnerships would be needed to provide a more detailed analysis of potential acquirers and timelines.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Obtain data on battery performance degradation over time and under realworld conditions.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Identify the &gt;15 OEMs and manufacturing partners currently testing the 100in5 cells; understand their level of commitment (pilot, MoU, contracts).</w:t>
      </w:r>
    </w:p>
    <w:p>
      <w:pPr>
        <w:spacing w:line="360" w:lineRule="auto"/>
        <w:ind w:firstLine="0"/>
        <w:jc w:val="both"/>
      </w:pPr>
      <w:r>
        <w:rPr>
          <w:rFonts w:ascii="Times New Roman" w:hAnsi="Times New Roman"/>
          <w:sz w:val="24"/>
        </w:rPr>
        <w:t>• Confirm timelines and scaleup plans for commercial production readiness in 2025 and 2028.</w:t>
      </w:r>
    </w:p>
    <w:p>
      <w:pPr>
        <w:spacing w:line="360" w:lineRule="auto"/>
        <w:ind w:firstLine="0"/>
        <w:jc w:val="both"/>
      </w:pPr>
      <w:r>
        <w:rPr>
          <w:rFonts w:ascii="Times New Roman" w:hAnsi="Times New Roman"/>
          <w:sz w:val="24"/>
        </w:rPr>
        <w:t>• Assess manufacturing capacity and potential bottlenecks in scaling using standard Liion lines.</w:t>
      </w:r>
    </w:p>
    <w:p>
      <w:pPr>
        <w:spacing w:line="360" w:lineRule="auto"/>
        <w:ind w:firstLine="0"/>
        <w:jc w:val="both"/>
      </w:pPr>
      <w:r>
        <w:rPr>
          <w:rFonts w:ascii="Times New Roman" w:hAnsi="Times New Roman"/>
          <w:sz w:val="24"/>
        </w:rPr>
        <w:t>Technology Differentiation &amp; Competitive Landscape</w:t>
      </w:r>
    </w:p>
    <w:p>
      <w:pPr>
        <w:spacing w:line="360" w:lineRule="auto"/>
        <w:ind w:firstLine="0"/>
        <w:jc w:val="both"/>
      </w:pPr>
      <w:r>
        <w:rPr>
          <w:rFonts w:ascii="Times New Roman" w:hAnsi="Times New Roman"/>
          <w:sz w:val="24"/>
        </w:rPr>
        <w:t>• Request comparative data vs. competitors’ technologies, especially on cost per kWh, energy density, and charging speed.</w:t>
      </w:r>
    </w:p>
    <w:p>
      <w:pPr>
        <w:spacing w:line="360" w:lineRule="auto"/>
        <w:ind w:firstLine="0"/>
        <w:jc w:val="both"/>
      </w:pPr>
      <w:r>
        <w:rPr>
          <w:rFonts w:ascii="Times New Roman" w:hAnsi="Times New Roman"/>
          <w:sz w:val="24"/>
        </w:rPr>
        <w:t>• Clarify how StoreDot’s silicondominant anode and semisolid approaches mitigate risks seen in other emerging battery chemistries.</w:t>
      </w:r>
    </w:p>
    <w:p>
      <w:pPr>
        <w:spacing w:line="360" w:lineRule="auto"/>
        <w:ind w:firstLine="0"/>
        <w:jc w:val="both"/>
      </w:pPr>
      <w:r>
        <w:rPr>
          <w:rFonts w:ascii="Times New Roman" w:hAnsi="Times New Roman"/>
          <w:sz w:val="24"/>
        </w:rPr>
        <w:t>• Understand StoreDot’s strategy to maintain 35 years lead given rapid advances in solidstate and other battery tech.</w:t>
      </w:r>
    </w:p>
    <w:p>
      <w:pPr>
        <w:spacing w:line="360" w:lineRule="auto"/>
        <w:ind w:firstLine="0"/>
        <w:jc w:val="both"/>
      </w:pPr>
      <w:r>
        <w:rPr>
          <w:rFonts w:ascii="Times New Roman" w:hAnsi="Times New Roman"/>
          <w:sz w:val="24"/>
        </w:rPr>
        <w:t>• Market Adoption &amp; GotoMarket Strategy</w:t>
      </w:r>
    </w:p>
    <w:p>
      <w:pPr>
        <w:spacing w:line="360" w:lineRule="auto"/>
        <w:ind w:firstLine="0"/>
        <w:jc w:val="both"/>
      </w:pPr>
      <w:r>
        <w:rPr>
          <w:rFonts w:ascii="Times New Roman" w:hAnsi="Times New Roman"/>
          <w:sz w:val="24"/>
        </w:rPr>
        <w:t>• Detail licensing model economics and expected revenue streams from licensing vs. direct sales.</w:t>
      </w:r>
    </w:p>
    <w:p>
      <w:pPr>
        <w:spacing w:line="360" w:lineRule="auto"/>
        <w:ind w:firstLine="0"/>
        <w:jc w:val="both"/>
      </w:pPr>
      <w:r>
        <w:rPr>
          <w:rFonts w:ascii="Times New Roman" w:hAnsi="Times New Roman"/>
          <w:sz w:val="24"/>
        </w:rPr>
        <w:t>• Clarify how StoreDot plans to address charging infrastructure and connector standardization challenges alongside battery tech.</w:t>
      </w:r>
    </w:p>
    <w:p>
      <w:pPr>
        <w:spacing w:line="360" w:lineRule="auto"/>
        <w:ind w:firstLine="0"/>
        <w:jc w:val="both"/>
      </w:pPr>
      <w:r>
        <w:rPr>
          <w:rFonts w:ascii="Times New Roman" w:hAnsi="Times New Roman"/>
          <w:sz w:val="24"/>
        </w:rPr>
        <w:t>• Understand customer adoption barriers and planned support to OEMs for integration and certification.</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financials, burn rate, and funding runway.</w:t>
      </w:r>
    </w:p>
    <w:p>
      <w:pPr>
        <w:spacing w:line="360" w:lineRule="auto"/>
        <w:ind w:firstLine="0"/>
        <w:jc w:val="both"/>
      </w:pPr>
      <w:r>
        <w:rPr>
          <w:rFonts w:ascii="Times New Roman" w:hAnsi="Times New Roman"/>
          <w:sz w:val="24"/>
        </w:rPr>
        <w:t>• Clarify capital requirements for scaling production and R&amp;D roadmap through 2032.</w:t>
      </w:r>
    </w:p>
    <w:p>
      <w:pPr>
        <w:spacing w:line="360" w:lineRule="auto"/>
        <w:ind w:firstLine="0"/>
        <w:jc w:val="both"/>
      </w:pPr>
      <w:r>
        <w:rPr>
          <w:rFonts w:ascii="Times New Roman" w:hAnsi="Times New Roman"/>
          <w:sz w:val="24"/>
        </w:rPr>
        <w:t>• Understand pricing assumptions and cost trajectory relative to incumbent Liion batteries.</w:t>
      </w:r>
    </w:p>
    <w:p>
      <w:pPr>
        <w:spacing w:line="360" w:lineRule="auto"/>
        <w:ind w:firstLine="0"/>
        <w:jc w:val="both"/>
      </w:pPr>
      <w:r>
        <w:rPr>
          <w:rFonts w:ascii="Times New Roman" w:hAnsi="Times New Roman"/>
          <w:sz w:val="24"/>
        </w:rPr>
        <w:t>Regulatory &amp; Sustainability</w:t>
      </w:r>
    </w:p>
    <w:p>
      <w:pPr>
        <w:spacing w:line="360" w:lineRule="auto"/>
        <w:ind w:firstLine="0"/>
        <w:jc w:val="both"/>
      </w:pPr>
      <w:r>
        <w:rPr>
          <w:rFonts w:ascii="Times New Roman" w:hAnsi="Times New Roman"/>
          <w:sz w:val="24"/>
        </w:rPr>
        <w:t>• Confirm compliance with evolving EV battery regulations globally (e.g., EU battery directive, US IRA incentives).</w:t>
      </w:r>
    </w:p>
    <w:p>
      <w:pPr>
        <w:spacing w:line="360" w:lineRule="auto"/>
        <w:ind w:firstLine="0"/>
        <w:jc w:val="both"/>
      </w:pPr>
      <w:r>
        <w:rPr>
          <w:rFonts w:ascii="Times New Roman" w:hAnsi="Times New Roman"/>
          <w:sz w:val="24"/>
        </w:rPr>
        <w:t>• Detail cobalt reduction and sustainability initiatives in production and endoflife battery management.</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Assess depth of technical and commercial team beyond leadership bios.</w:t>
      </w:r>
    </w:p>
    <w:p>
      <w:pPr>
        <w:spacing w:line="360" w:lineRule="auto"/>
        <w:ind w:firstLine="0"/>
        <w:jc w:val="both"/>
      </w:pPr>
      <w:r>
        <w:rPr>
          <w:rFonts w:ascii="Times New Roman" w:hAnsi="Times New Roman"/>
          <w:sz w:val="24"/>
        </w:rPr>
        <w:t>• Understand hiring plans and potential gaps in scaling operations globally.</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checks with OEM partners.</w:t>
      </w:r>
    </w:p>
    <w:p>
      <w:pPr>
        <w:spacing w:line="360" w:lineRule="auto"/>
        <w:ind w:firstLine="0"/>
        <w:jc w:val="both"/>
      </w:pPr>
      <w:r>
        <w:rPr>
          <w:rFonts w:ascii="Times New Roman" w:hAnsi="Times New Roman"/>
          <w:sz w:val="24"/>
        </w:rPr>
        <w:t>• Engage independent battery experts for technology and IP due diligence.</w:t>
      </w:r>
    </w:p>
    <w:p>
      <w:pPr>
        <w:spacing w:line="360" w:lineRule="auto"/>
        <w:ind w:firstLine="0"/>
        <w:jc w:val="both"/>
      </w:pPr>
      <w:r>
        <w:rPr>
          <w:rFonts w:ascii="Times New Roman" w:hAnsi="Times New Roman"/>
          <w:sz w:val="24"/>
        </w:rPr>
        <w:t>• Review detailed financial model and unit economics.</w:t>
      </w:r>
    </w:p>
    <w:p>
      <w:pPr>
        <w:spacing w:line="360" w:lineRule="auto"/>
        <w:ind w:firstLine="0"/>
        <w:jc w:val="both"/>
      </w:pPr>
      <w:r>
        <w:rPr>
          <w:rFonts w:ascii="Times New Roman" w:hAnsi="Times New Roman"/>
          <w:sz w:val="24"/>
        </w:rPr>
        <w:t>• Monitor regulatory developments impacting battery tech adoption.</w:t>
      </w:r>
    </w:p>
    <w:p>
      <w:pPr>
        <w:spacing w:line="360" w:lineRule="auto"/>
        <w:ind w:firstLine="0"/>
        <w:jc w:val="both"/>
      </w:pPr>
      <w:r>
        <w:rPr>
          <w:rFonts w:ascii="Times New Roman" w:hAnsi="Times New Roman"/>
          <w:sz w:val="24"/>
        </w:rPr>
        <w:t>• If these areas are addressed satisfactorily, proceed to term sheet drafting.</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Proposition: StoreDot’s silicondominant anode lithiumion battery technology promises extreme fast charging (XFC) — 100 miles in 510 minutes — addressing a critical pain point in EV adoption: charging time and range anxiety. This is a clear value driver with strong market relevance.</w:t>
      </w:r>
    </w:p>
    <w:p>
      <w:pPr>
        <w:spacing w:line="360" w:lineRule="auto"/>
        <w:ind w:firstLine="0"/>
        <w:jc w:val="both"/>
      </w:pPr>
      <w:r>
        <w:rPr>
          <w:rFonts w:ascii="Times New Roman" w:hAnsi="Times New Roman"/>
          <w:sz w:val="24"/>
        </w:rPr>
        <w:t>• Compatibility &amp; Scalability: The technology’s compatibility with existing lithiumion manufacturing lines is a major advantage, potentially enabling faster and more costeffective adoption by OEMs and battery manufacturers without requiring costly retooling.</w:t>
      </w:r>
    </w:p>
    <w:p>
      <w:pPr>
        <w:spacing w:line="360" w:lineRule="auto"/>
        <w:ind w:firstLine="0"/>
        <w:jc w:val="both"/>
      </w:pPr>
      <w:r>
        <w:rPr>
          <w:rFonts w:ascii="Times New Roman" w:hAnsi="Times New Roman"/>
          <w:sz w:val="24"/>
        </w:rPr>
        <w:t>• Strong IP &amp; Partnerships: A robust patent portfolio (78 granted US patents) and partnerships with over 15 OEMs/manufacturing partners provide a defensible moat and validation from industry players, which is crucial in a competitive and capitalintensive sector.</w:t>
      </w:r>
    </w:p>
    <w:p>
      <w:pPr>
        <w:spacing w:line="360" w:lineRule="auto"/>
        <w:ind w:firstLine="0"/>
        <w:jc w:val="both"/>
      </w:pPr>
      <w:r>
        <w:rPr>
          <w:rFonts w:ascii="Times New Roman" w:hAnsi="Times New Roman"/>
          <w:sz w:val="24"/>
        </w:rPr>
        <w:t>• Experienced Leadership: The founding and executive team bring deep expertise in technology, finance, and automotive sectors, increasing confidence in execution capability.</w:t>
      </w:r>
    </w:p>
    <w:p>
      <w:pPr>
        <w:spacing w:line="360" w:lineRule="auto"/>
        <w:ind w:firstLine="0"/>
        <w:jc w:val="both"/>
      </w:pPr>
      <w:r>
        <w:rPr>
          <w:rFonts w:ascii="Times New Roman" w:hAnsi="Times New Roman"/>
          <w:sz w:val="24"/>
        </w:rPr>
        <w:t>• Clear Market Need: The problem of charging anxiety is well articulated and aligns with global EV adoption trends and regulatory pushes for decarbonization, indicating a large potential market.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funding stage, or revenue projections severely limit the ability to assess financial health, runway, and valuation. This opacity increases investment risk.</w:t>
      </w:r>
    </w:p>
    <w:p>
      <w:pPr>
        <w:spacing w:line="360" w:lineRule="auto"/>
        <w:ind w:firstLine="0"/>
        <w:jc w:val="both"/>
      </w:pPr>
      <w:r>
        <w:rPr>
          <w:rFonts w:ascii="Times New Roman" w:hAnsi="Times New Roman"/>
          <w:sz w:val="24"/>
        </w:rPr>
        <w:t>• Unproven Technology at Scale: Critical technical due diligence is missing—no independent validation of charging claims, cycle life, safety, or degradation data. Without this, the technology’s commercial viability remains uncertain.</w:t>
      </w:r>
    </w:p>
    <w:p>
      <w:pPr>
        <w:spacing w:line="360" w:lineRule="auto"/>
        <w:ind w:firstLine="0"/>
        <w:jc w:val="both"/>
      </w:pPr>
      <w:r>
        <w:rPr>
          <w:rFonts w:ascii="Times New Roman" w:hAnsi="Times New Roman"/>
          <w:sz w:val="24"/>
        </w:rPr>
        <w:t>• Market Size &amp; Share Undefined: No independent TAM/SAM/SOM analysis or validated market penetration data. Reliance on company projections without thirdparty verification weakens market opportunity assessment.</w:t>
      </w:r>
    </w:p>
    <w:p>
      <w:pPr>
        <w:spacing w:line="360" w:lineRule="auto"/>
        <w:ind w:firstLine="0"/>
        <w:jc w:val="both"/>
      </w:pPr>
      <w:r>
        <w:rPr>
          <w:rFonts w:ascii="Times New Roman" w:hAnsi="Times New Roman"/>
          <w:sz w:val="24"/>
        </w:rPr>
        <w:t>• Limited Product Roadmap Detail: While future semisolid and postlithium batteries are mentioned, timelines and milestones lack specificity, making it difficult to gauge longterm innovation trajectory.</w:t>
      </w:r>
    </w:p>
    <w:p>
      <w:pPr>
        <w:spacing w:line="360" w:lineRule="auto"/>
        <w:ind w:firstLine="0"/>
        <w:jc w:val="both"/>
      </w:pPr>
      <w:r>
        <w:rPr>
          <w:rFonts w:ascii="Times New Roman" w:hAnsi="Times New Roman"/>
          <w:sz w:val="24"/>
        </w:rPr>
        <w:t>• Unclear OEM Commitment: The nature and depth of partnerships with OEMs are not detailed—pilot projects, MoUs, or binding contracts? This ambiguity clouds the likelihood of successful commercialization.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StoreDot’s lead time (35 years) over competitors in XFC technology could translate into significant market share if commercialized successfully by 2025.</w:t>
      </w:r>
    </w:p>
    <w:p>
      <w:pPr>
        <w:spacing w:line="360" w:lineRule="auto"/>
        <w:ind w:firstLine="0"/>
        <w:jc w:val="both"/>
      </w:pPr>
      <w:r>
        <w:rPr>
          <w:rFonts w:ascii="Times New Roman" w:hAnsi="Times New Roman"/>
          <w:sz w:val="24"/>
        </w:rPr>
        <w:t>• Licensing Model Scalability: Licensing to OEMs and manufacturers can enable rapid scaling without heavy capital expenditure on manufacturing, potentially accelerating revenue growth and margin expansion.</w:t>
      </w:r>
    </w:p>
    <w:p>
      <w:pPr>
        <w:spacing w:line="360" w:lineRule="auto"/>
        <w:ind w:firstLine="0"/>
        <w:jc w:val="both"/>
      </w:pPr>
      <w:r>
        <w:rPr>
          <w:rFonts w:ascii="Times New Roman" w:hAnsi="Times New Roman"/>
          <w:sz w:val="24"/>
        </w:rPr>
        <w:t>• EV Market Growth: Regulatory mandates and consumer demand for EVs continue to grow globally, expanding the addressable market for fastcharging battery solutions.</w:t>
      </w:r>
    </w:p>
    <w:p>
      <w:pPr>
        <w:spacing w:line="360" w:lineRule="auto"/>
        <w:ind w:firstLine="0"/>
        <w:jc w:val="both"/>
      </w:pPr>
      <w:r>
        <w:rPr>
          <w:rFonts w:ascii="Times New Roman" w:hAnsi="Times New Roman"/>
          <w:sz w:val="24"/>
        </w:rPr>
        <w:t>• Technology Evolution: Advancing toward semisolid and postlithium chemistries could sustain StoreDot’s competitive edge and open new market segments beyond current lithiumion batteries.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Competitive Pressure: Intense competition from wellfunded players like QuantumScape and Sila Nanotechnologies, who are also innovating in fastcharging and highdensity batteries, could erode StoreDot’s market position.</w:t>
      </w:r>
    </w:p>
    <w:p>
      <w:pPr>
        <w:spacing w:line="360" w:lineRule="auto"/>
        <w:ind w:firstLine="0"/>
        <w:jc w:val="both"/>
      </w:pPr>
      <w:r>
        <w:rPr>
          <w:rFonts w:ascii="Times New Roman" w:hAnsi="Times New Roman"/>
          <w:sz w:val="24"/>
        </w:rPr>
        <w:t>• Technology &amp; ScaleUp Risk: Potential delays or failures in scaling the technology, achieving safety certifications, or meeting performance claims could derail commercialization timelines.</w:t>
      </w:r>
    </w:p>
    <w:p>
      <w:pPr>
        <w:spacing w:line="360" w:lineRule="auto"/>
        <w:ind w:firstLine="0"/>
        <w:jc w:val="both"/>
      </w:pPr>
      <w:r>
        <w:rPr>
          <w:rFonts w:ascii="Times New Roman" w:hAnsi="Times New Roman"/>
          <w:sz w:val="24"/>
        </w:rPr>
        <w:t>• Regulatory &amp; Safety Compliance: Battery technologies face stringent and evolving regulatory requirements globally; failure to comply could limit market access or result in costly recalls.</w:t>
      </w:r>
    </w:p>
    <w:p>
      <w:pPr>
        <w:spacing w:line="360" w:lineRule="auto"/>
        <w:ind w:firstLine="0"/>
        <w:jc w:val="both"/>
      </w:pPr>
      <w:r>
        <w:rPr>
          <w:rFonts w:ascii="Times New Roman" w:hAnsi="Times New Roman"/>
          <w:sz w:val="24"/>
        </w:rPr>
        <w:t>• Market Timing &amp; Adoption: Shifts in EV market dynamics, infrastructure development, or emergence of alternative technologies (e.g., solidstate batteries) could impact StoreDot’s gotomarket success.</w:t>
      </w:r>
    </w:p>
    <w:p>
      <w:pPr>
        <w:spacing w:line="360" w:lineRule="auto"/>
        <w:ind w:firstLine="0"/>
        <w:jc w:val="both"/>
      </w:pPr>
      <w:r>
        <w:rPr>
          <w:rFonts w:ascii="Times New Roman" w:hAnsi="Times New Roman"/>
          <w:sz w:val="24"/>
        </w:rPr>
        <w:t>• Financial Uncertainty: Unknown funding status and burn rate raise concerns about the company’s ability to sustain R&amp;D and scale operations through commercialization.</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Prioritize Technical Validation: Insist on independent third-party testing of StoreDot’s charging speed, cycle life (&gt;1200 cycles), degradation, and safety under real-world conditions before committing capital.</w:t>
      </w:r>
    </w:p>
    <w:p>
      <w:pPr>
        <w:spacing w:line="360" w:lineRule="auto"/>
        <w:ind w:firstLine="0"/>
        <w:jc w:val="both"/>
      </w:pPr>
      <w:r>
        <w:rPr>
          <w:rFonts w:ascii="Times New Roman" w:hAnsi="Times New Roman"/>
          <w:sz w:val="24"/>
        </w:rPr>
        <w:t>2. Demand Financial Transparency: Obtain detailed financials, including current funding, burn rate, runway, and capital requirements through 2030, to assess sustainability and dilution risk.</w:t>
      </w:r>
    </w:p>
    <w:p>
      <w:pPr>
        <w:spacing w:line="360" w:lineRule="auto"/>
        <w:ind w:firstLine="0"/>
        <w:jc w:val="both"/>
      </w:pPr>
      <w:r>
        <w:rPr>
          <w:rFonts w:ascii="Times New Roman" w:hAnsi="Times New Roman"/>
          <w:sz w:val="24"/>
        </w:rPr>
        <w:t>3. Clarify OEM Partnerships: Verify the nature, scope, and exclusivity of OEM and manufacturing partner agreements to understand commercialization likelihood and revenue visibility.</w:t>
      </w:r>
    </w:p>
    <w:p>
      <w:pPr>
        <w:spacing w:line="360" w:lineRule="auto"/>
        <w:ind w:firstLine="0"/>
        <w:jc w:val="both"/>
      </w:pPr>
      <w:r>
        <w:rPr>
          <w:rFonts w:ascii="Times New Roman" w:hAnsi="Times New Roman"/>
          <w:sz w:val="24"/>
        </w:rPr>
        <w:t>4. Conduct Competitive Benchmarking: Request comparative data on cost per kWh, energy density, and charging speed versus competitors to validate StoreDot’s claimed 3-5 year lead.</w:t>
      </w:r>
    </w:p>
    <w:p>
      <w:pPr>
        <w:spacing w:line="360" w:lineRule="auto"/>
        <w:ind w:firstLine="0"/>
        <w:jc w:val="both"/>
      </w:pPr>
      <w:r>
        <w:rPr>
          <w:rFonts w:ascii="Times New Roman" w:hAnsi="Times New Roman"/>
          <w:sz w:val="24"/>
        </w:rPr>
        <w:t>5. Assess Regulatory Strategy: Evaluate StoreDot’s plans and capabilities for navigating global regulatory frameworks, including safety certifications and sustainability compliance.</w:t>
      </w:r>
    </w:p>
    <w:p>
      <w:pPr>
        <w:spacing w:line="360" w:lineRule="auto"/>
        <w:ind w:firstLine="0"/>
        <w:jc w:val="both"/>
      </w:pPr>
      <w:r>
        <w:rPr>
          <w:rFonts w:ascii="Times New Roman" w:hAnsi="Times New Roman"/>
          <w:sz w:val="24"/>
        </w:rPr>
        <w:t>6. Monitor Market &amp; Tech Trends: Stay alert to emerging battery chemistries and infrastructure developments that could disrupt StoreDot’s value proposition or timing.</w:t>
      </w:r>
    </w:p>
    <w:p>
      <w:pPr>
        <w:spacing w:line="360" w:lineRule="auto"/>
        <w:ind w:firstLine="0"/>
        <w:jc w:val="both"/>
      </w:pPr>
      <w:r>
        <w:rPr>
          <w:rFonts w:ascii="Times New Roman" w:hAnsi="Times New Roman"/>
          <w:sz w:val="24"/>
        </w:rPr>
        <w:t>7. Engage in Structured Due Diligence: Schedule deep dives with StoreDot’s CTO and R&amp;D leads, conduct reference checks with OEM partners, and commission independent IP and technology audits.</w:t>
      </w:r>
    </w:p>
    <w:p>
      <w:pPr>
        <w:spacing w:line="360" w:lineRule="auto"/>
        <w:ind w:firstLine="0"/>
        <w:jc w:val="both"/>
      </w:pPr>
      <w:r>
        <w:rPr>
          <w:rFonts w:ascii="Times New Roman" w:hAnsi="Times New Roman"/>
          <w:sz w:val="24"/>
        </w:rPr>
        <w:t>8. Consider Staged Investment: Structure funding rounds with milestone-based tranches tied to technical validation, OEM commitments, and financial disclosures to mitigate risk.</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StoreDot presents a promising deep-tech solution addressing a critical bottleneck in EV adoption with a potentially scalable and cost-effective technology. However, significant gaps in financial transparency, technical validation, and market clarity necessitate cautious, data-driven investment. Investors should seek rigorous due diligence and phased exposure, leveraging StoreDot’s strong leadership and partnerships while mitigating execution and market risks. If StoreDot can demonstrate validated performance and secure firm OEM commitments, it could be a compelling play in the fast-growing EV battery ecosystem.</w:t>
      </w:r>
    </w:p>
    <w:p>
      <w:pPr>
        <w:spacing w:line="360" w:lineRule="auto"/>
        <w:ind w:firstLine="0"/>
        <w:jc w:val="both"/>
      </w:pPr>
      <w:r>
        <w:rPr>
          <w:rFonts w:ascii="Times New Roman" w:hAnsi="Times New Roman"/>
          <w:sz w:val="24"/>
        </w:rPr>
        <w:t>Generated by VC Analysis System on July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