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14, 2025 at 04:33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972B2B5"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line="360" w:lineRule="auto"/>
        <w:jc w:val="both"/>
      </w:pPr>
      <w:r>
        <w:rPr>
          <w:rFonts w:ascii="Times New Roman" w:hAnsi="Times New Roman"/>
          <w:sz w:val="24"/>
        </w:rPr>
        <w:t>INVESTMENT MEMORANDUM – Storedot</w:t>
      </w:r>
    </w:p>
    <w:p>
      <w:pPr>
        <w:spacing w:before="240" w:line="360" w:lineRule="auto" w:after="120"/>
        <w:jc w:val="both"/>
      </w:pPr>
      <w:r>
        <w:rPr>
          <w:rFonts w:ascii="Times New Roman" w:hAnsi="Times New Roman"/>
          <w:b/>
          <w:sz w:val="24"/>
        </w:rPr>
        <w:t>1. DETAILED SUMMARY</w:t>
      </w:r>
    </w:p>
    <w:p>
      <w:pPr>
        <w:spacing w:line="360" w:lineRule="auto"/>
        <w:jc w:val="both"/>
      </w:pPr>
      <w:r>
        <w:rPr>
          <w:rFonts w:ascii="Times New Roman" w:hAnsi="Times New Roman"/>
          <w:sz w:val="24"/>
        </w:rPr>
        <w:t>StoreDot, founded by Doron Myersdorf, DSc,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before="240" w:line="360" w:lineRule="auto" w:after="120"/>
        <w:jc w:val="both"/>
      </w:pPr>
      <w:r>
        <w:rPr>
          <w:rFonts w:ascii="Times New Roman" w:hAnsi="Times New Roman"/>
          <w:b/>
          <w:sz w:val="24"/>
        </w:rPr>
        <w:t>2. COMPANY OVERVIEW</w:t>
      </w:r>
    </w:p>
    <w:p>
      <w:pPr>
        <w:spacing w:line="360" w:lineRule="auto"/>
        <w:jc w:val="both"/>
      </w:pPr>
      <w:r>
        <w:rPr>
          <w:rFonts w:ascii="Times New Roman" w:hAnsi="Times New Roman"/>
          <w:sz w:val="24"/>
        </w:rPr>
        <w:t>Company: Storedot</w:t>
      </w:r>
    </w:p>
    <w:p>
      <w:pPr>
        <w:spacing w:line="360" w:lineRule="auto"/>
        <w:jc w:val="both"/>
      </w:pPr>
      <w:r>
        <w:rPr>
          <w:rFonts w:ascii="Times New Roman" w:hAnsi="Times New Roman"/>
          <w:sz w:val="24"/>
        </w:rPr>
        <w:t>Sector: Battery Technology</w:t>
      </w:r>
    </w:p>
    <w:p>
      <w:pPr>
        <w:spacing w:line="360" w:lineRule="auto"/>
        <w:jc w:val="both"/>
      </w:pPr>
      <w:r>
        <w:rPr>
          <w:rFonts w:ascii="Times New Roman" w:hAnsi="Times New Roman"/>
          <w:sz w:val="24"/>
        </w:rPr>
        <w:t>Website: The official website for the company Storedot is https://storedot.com.</w:t>
      </w:r>
    </w:p>
    <w:p>
      <w:pPr>
        <w:spacing w:line="360" w:lineRule="auto"/>
        <w:jc w:val="both"/>
      </w:pPr>
      <w:r>
        <w:rPr>
          <w:rFonts w:ascii="Times New Roman" w:hAnsi="Times New Roman"/>
          <w:sz w:val="24"/>
        </w:rPr>
        <w:t>Funding Stage: Undisclosed (no public data found)</w:t>
      </w:r>
    </w:p>
    <w:p>
      <w:pPr>
        <w:spacing w:line="360" w:lineRule="auto"/>
        <w:jc w:val="both"/>
      </w:pPr>
      <w:r>
        <w:rPr>
          <w:rFonts w:ascii="Times New Roman" w:hAnsi="Times New Roman"/>
          <w:sz w:val="24"/>
        </w:rPr>
        <w:t>Team: Doron Myersdorf, DSc</w:t>
      </w:r>
    </w:p>
    <w:p>
      <w:pPr>
        <w:spacing w:before="240" w:line="360" w:lineRule="auto" w:after="120"/>
        <w:jc w:val="both"/>
      </w:pPr>
      <w:r>
        <w:rPr>
          <w:rFonts w:ascii="Times New Roman" w:hAnsi="Times New Roman"/>
          <w:b/>
          <w:sz w:val="24"/>
        </w:rPr>
        <w:t>3. PROBLEM STATEMENT</w:t>
      </w:r>
    </w:p>
    <w:p>
      <w:pPr>
        <w:spacing w:line="360" w:lineRule="auto"/>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before="240" w:line="360" w:lineRule="auto" w:after="120"/>
        <w:jc w:val="both"/>
      </w:pPr>
      <w:r>
        <w:rPr>
          <w:rFonts w:ascii="Times New Roman" w:hAnsi="Times New Roman"/>
          <w:b/>
          <w:sz w:val="24"/>
        </w:rPr>
        <w:t>4. SOLUTION OVERVIEW</w:t>
      </w:r>
    </w:p>
    <w:p>
      <w:pPr>
        <w:spacing w:line="360" w:lineRule="auto"/>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before="240" w:line="360" w:lineRule="auto" w:after="120"/>
        <w:jc w:val="both"/>
      </w:pPr>
      <w:r>
        <w:rPr>
          <w:rFonts w:ascii="Times New Roman" w:hAnsi="Times New Roman"/>
          <w:b/>
          <w:sz w:val="24"/>
        </w:rPr>
        <w:t>5. MARKET SIZE &amp; ANALYSIS</w:t>
      </w:r>
    </w:p>
    <w:p>
      <w:pPr>
        <w:spacing w:line="360" w:lineRule="auto"/>
        <w:jc w:val="both"/>
      </w:pPr>
      <w:r>
        <w:rPr>
          <w:rFonts w:ascii="Times New Roman" w:hAnsi="Times New Roman"/>
          <w:sz w:val="24"/>
        </w:rPr>
        <w:t>TAM $120 K, SAM $30 K, SOM $3 K; Market Penetration: 2.5 %</w:t>
      </w:r>
    </w:p>
    <w:p>
      <w:pPr>
        <w:spacing w:line="360" w:lineRule="auto"/>
        <w:jc w:val="both"/>
      </w:pPr>
      <w:r>
        <w:rPr>
          <w:rFonts w:ascii="Times New Roman" w:hAnsi="Times New Roman"/>
          <w:sz w:val="24"/>
        </w:rPr>
        <w:t>Discussion: Growth is driven by increasing EV adoption, regulatory mandates for clean energy, and advances in battery technology. Inhibitors include supply chain constraints, raw material costs, and evolving safety standards. Key opportunities include first-mover advantage, strategic partnerships, and addressing unmet needs in fast-charging and energy density. Threats include new entrants, disruptive chemistries, and policy uncertainty. SOM is based on company projections and may require independent validation. (Market size is based on company materials; independent verification recommended.)</w:t>
      </w:r>
    </w:p>
    <w:p>
      <w:pPr>
        <w:spacing w:line="360" w:lineRule="auto"/>
        <w:jc w:val="both"/>
      </w:pPr>
      <w:r>
        <w:rPr>
          <w:rFonts w:ascii="Times New Roman" w:hAnsi="Times New Roman"/>
          <w:sz w:val="24"/>
        </w:rPr>
        <w:t>Battery Technology</w:t>
      </w:r>
    </w:p>
    <w:p>
      <w:pPr>
        <w:spacing w:before="240" w:line="360" w:lineRule="auto" w:after="120"/>
        <w:jc w:val="both"/>
      </w:pPr>
      <w:r>
        <w:rPr>
          <w:rFonts w:ascii="Times New Roman" w:hAnsi="Times New Roman"/>
          <w:b/>
          <w:sz w:val="24"/>
        </w:rPr>
        <w:t>6. COMPETITIVE LANDSCAPE</w:t>
      </w:r>
    </w:p>
    <w:p>
      <w:pPr>
        <w:spacing w:line="360" w:lineRule="auto"/>
        <w:jc w:val="both"/>
      </w:pPr>
      <w:r>
        <w:rPr>
          <w:rFonts w:ascii="Times New Roman" w:hAnsi="Times New Roman"/>
          <w:sz w:val="24"/>
        </w:rPr>
        <w:t>• QuantumScape: Focuses on solid-state lithium-metal batteries promising higher energy density and faster charging.</w:t>
      </w:r>
    </w:p>
    <w:p>
      <w:pPr>
        <w:spacing w:line="360" w:lineRule="auto"/>
        <w:jc w:val="both"/>
      </w:pPr>
      <w:r>
        <w:rPr>
          <w:rFonts w:ascii="Times New Roman" w:hAnsi="Times New Roman"/>
          <w:sz w:val="24"/>
        </w:rPr>
        <w:t>• Sila Nanotechnologies: Develops silicon-dominant anode materials to improve battery energy density and charging speed.</w:t>
      </w:r>
    </w:p>
    <w:p>
      <w:pPr>
        <w:spacing w:line="360" w:lineRule="auto"/>
        <w:jc w:val="both"/>
      </w:pPr>
      <w:r>
        <w:rPr>
          <w:rFonts w:ascii="Times New Roman" w:hAnsi="Times New Roman"/>
          <w:sz w:val="24"/>
        </w:rPr>
        <w:t>• Enovix: Specializes in 3D silicon lithium-ion batteries offering enhanced energy density and safety.</w:t>
      </w:r>
    </w:p>
    <w:p>
      <w:pPr>
        <w:spacing w:before="240" w:line="360" w:lineRule="auto" w:after="120"/>
        <w:jc w:val="both"/>
      </w:pPr>
      <w:r>
        <w:rPr>
          <w:rFonts w:ascii="Times New Roman" w:hAnsi="Times New Roman"/>
          <w:b/>
          <w:sz w:val="24"/>
        </w:rPr>
        <w:t>7. BUSINESS MODEL</w:t>
      </w:r>
    </w:p>
    <w:p>
      <w:pPr>
        <w:spacing w:line="360" w:lineRule="auto"/>
        <w:jc w:val="both"/>
      </w:pPr>
      <w:r>
        <w:rPr>
          <w:rFonts w:ascii="Times New Roman" w:hAnsi="Times New Roman"/>
          <w:sz w:val="24"/>
        </w:rPr>
        <w:t>StoreDot is a battery technology startup focused on enabling extreme fast charging (XFC) for electric vehicles (EVs), aiming to eliminate "charging anxiety" by delivering a charging experience comparable to refueling conventional cars. Their core business model centers on developing and licensing proprietary silicon-dominant anode lithium-ion battery cells capable of charging 100 miles of range in 5 minutes ("100in5"), with commercial readiness targeted for 2025. Revenue streams primarily come from licensing their scalable, drop-in compatible battery technology to OEMs and manufacturing partners, supported by a robust patent portfolio. Their customer segments include EV manufacturers and battery producers globally, with ongoing testing by over 15 OEMs indicating strong industry validation. StoreDot’s go-to-market strategy leverages partnerships and licensing rather than direct manufacturing, enabling rapid scalability using existing lithium-ion production lines. Recent materials show no major pivots but emphasize a clear roadmap toward semi-solid and post-lithium batteries by 2028 and 2032, respectively, maintaining a technology lead over competing solutions. (Sources: StoreDot April 2023 Corporate Overview; UBS EV Battery Market reports)</w:t>
      </w:r>
    </w:p>
    <w:p>
      <w:pPr>
        <w:spacing w:before="240" w:line="360" w:lineRule="auto" w:after="120"/>
        <w:jc w:val="both"/>
      </w:pPr>
      <w:r>
        <w:rPr>
          <w:rFonts w:ascii="Times New Roman" w:hAnsi="Times New Roman"/>
          <w:b/>
          <w:sz w:val="24"/>
        </w:rPr>
        <w:t>8. TECHNICAL DUE DILIGENCE</w:t>
      </w:r>
    </w:p>
    <w:p>
      <w:pPr>
        <w:spacing w:line="360" w:lineRule="auto"/>
        <w:jc w:val="both"/>
      </w:pPr>
      <w:r>
        <w:rPr>
          <w:rFonts w:ascii="Times New Roman" w:hAnsi="Times New Roman"/>
          <w:sz w:val="24"/>
        </w:rPr>
        <w:t>• Technical Feasibility and Performance: production.</w:t>
      </w:r>
    </w:p>
    <w:p>
      <w:pPr>
        <w:spacing w:line="360" w:lineRule="auto"/>
        <w:jc w:val="both"/>
      </w:pPr>
      <w:r>
        <w:rPr>
          <w:rFonts w:ascii="Times New Roman" w:hAnsi="Times New Roman"/>
          <w:sz w:val="24"/>
        </w:rPr>
        <w:t>• Moat: StoreDot has a 3-5 years' lead on alternative solutions in extreme fast charging technology.</w:t>
      </w:r>
    </w:p>
    <w:p>
      <w:pPr>
        <w:spacing w:line="360" w:lineRule="auto"/>
        <w:jc w:val="both"/>
      </w:pPr>
      <w:r>
        <w:rPr>
          <w:rFonts w:ascii="Times New Roman" w:hAnsi="Times New Roman"/>
          <w:sz w:val="24"/>
        </w:rPr>
        <w:t>• Complexity: Not specified.</w:t>
      </w:r>
    </w:p>
    <w:p>
      <w:pPr>
        <w:spacing w:line="360" w:lineRule="auto"/>
        <w:jc w:val="both"/>
      </w:pPr>
      <w:r>
        <w:rPr>
          <w:rFonts w:ascii="Times New Roman" w:hAnsi="Times New Roman"/>
          <w:sz w:val="24"/>
        </w:rPr>
        <w:t>• Security: Product safety, data, and IP protection should be addressed.</w:t>
      </w:r>
    </w:p>
    <w:p>
      <w:pPr>
        <w:spacing w:line="360" w:lineRule="auto"/>
        <w:jc w:val="both"/>
      </w:pPr>
      <w:r>
        <w:rPr>
          <w:rFonts w:ascii="Times New Roman" w:hAnsi="Times New Roman"/>
          <w:sz w:val="24"/>
        </w:rPr>
        <w:t>• Implementation: Implementation details not specified.</w:t>
      </w:r>
    </w:p>
    <w:p>
      <w:pPr>
        <w:spacing w:line="360" w:lineRule="auto"/>
        <w:jc w:val="both"/>
      </w:pPr>
      <w:r>
        <w:rPr>
          <w:rFonts w:ascii="Times New Roman" w:hAnsi="Times New Roman"/>
          <w:sz w:val="24"/>
        </w:rPr>
        <w:t>• Assumption Risks: Assumption risks not specified.</w:t>
      </w:r>
    </w:p>
    <w:p>
      <w:pPr>
        <w:spacing w:line="360" w:lineRule="auto"/>
        <w:jc w:val="both"/>
      </w:pPr>
      <w:r>
        <w:rPr>
          <w:rFonts w:ascii="Times New Roman" w:hAnsi="Times New Roman"/>
          <w:sz w:val="24"/>
        </w:rPr>
        <w:t>• Regulatory: Compliance with industry standards and certifications is required.</w:t>
      </w:r>
    </w:p>
    <w:p>
      <w:pPr>
        <w:spacing w:line="360" w:lineRule="auto"/>
        <w:jc w:val="both"/>
      </w:pPr>
      <w:r>
        <w:rPr>
          <w:rFonts w:ascii="Times New Roman" w:hAnsi="Times New Roman"/>
          <w:sz w:val="24"/>
        </w:rPr>
        <w:t>• Testing: Independent validation and certification are recommended.</w:t>
      </w:r>
    </w:p>
    <w:p>
      <w:pPr>
        <w:spacing w:line="360" w:lineRule="auto"/>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jc w:val="both"/>
      </w:pPr>
      <w:r>
        <w:rPr>
          <w:rFonts w:ascii="Times New Roman" w:hAnsi="Times New Roman"/>
          <w:b/>
          <w:sz w:val="24"/>
        </w:rPr>
        <w:t>9. PRODUCT DESCRIPTION</w:t>
      </w:r>
    </w:p>
    <w:p>
      <w:pPr>
        <w:spacing w:line="360" w:lineRule="auto"/>
        <w:jc w:val="both"/>
      </w:pPr>
      <w:r>
        <w:rPr>
          <w:rFonts w:ascii="Times New Roman" w:hAnsi="Times New Roman"/>
          <w:sz w:val="24"/>
        </w:rPr>
        <w:t>StoreDot has a 3-5 years' lead on alternative solutions in extreme fast charging technology</w:t>
      </w:r>
    </w:p>
    <w:p>
      <w:pPr>
        <w:spacing w:before="240" w:line="360" w:lineRule="auto" w:after="120"/>
        <w:jc w:val="both"/>
      </w:pPr>
      <w:r>
        <w:rPr>
          <w:rFonts w:ascii="Times New Roman" w:hAnsi="Times New Roman"/>
          <w:b/>
          <w:sz w:val="24"/>
        </w:rPr>
        <w:t>10. FINANCIAL ANALYSIS</w:t>
      </w:r>
    </w:p>
    <w:p>
      <w:pPr>
        <w:spacing w:line="360" w:lineRule="auto"/>
        <w:jc w:val="both"/>
      </w:pPr>
      <w:r>
        <w:rPr>
          <w:rFonts w:ascii="Times New Roman" w:hAnsi="Times New Roman"/>
          <w:sz w:val="24"/>
        </w:rPr>
        <w:t>Company has not released financials as of July 14, 2025.</w:t>
      </w:r>
    </w:p>
    <w:p>
      <w:pPr>
        <w:spacing w:line="360" w:lineRule="auto"/>
        <w:jc w:val="both"/>
      </w:pPr>
      <w:r>
        <w:rPr>
          <w:rFonts w:ascii="Times New Roman" w:hAnsi="Times New Roman"/>
          <w:sz w:val="24"/>
        </w:rPr>
        <w:t>Potential Annual Revenue (if full SOM captured): $300 M (Assumes ASP $100,000)</w:t>
      </w:r>
    </w:p>
    <w:p>
      <w:pPr>
        <w:spacing w:line="360" w:lineRule="auto"/>
        <w:jc w:val="both"/>
      </w:pPr>
      <w:r>
        <w:rPr>
          <w:rFonts w:ascii="Times New Roman" w:hAnsi="Times New Roman"/>
          <w:sz w:val="24"/>
        </w:rPr>
        <w:t>Potential Valuation (8x revenue): $2.4 B</w:t>
      </w:r>
    </w:p>
    <w:p>
      <w:pPr>
        <w:spacing w:before="240" w:line="360" w:lineRule="auto" w:after="120"/>
        <w:jc w:val="both"/>
      </w:pPr>
      <w:r>
        <w:rPr>
          <w:rFonts w:ascii="Times New Roman" w:hAnsi="Times New Roman"/>
          <w:b/>
          <w:sz w:val="24"/>
        </w:rPr>
        <w:t>11. TEAM &amp; MANAGEMENT</w:t>
      </w:r>
    </w:p>
    <w:p>
      <w:pPr>
        <w:spacing w:line="360" w:lineRule="auto"/>
        <w:jc w:val="both"/>
      </w:pPr>
      <w:r>
        <w:rPr>
          <w:rFonts w:ascii="Times New Roman" w:hAnsi="Times New Roman"/>
          <w:sz w:val="24"/>
        </w:rPr>
        <w:t>Founder: Doron Myersdorf, DSc</w:t>
      </w:r>
    </w:p>
    <w:p>
      <w:pPr>
        <w:spacing w:line="360" w:lineRule="auto"/>
        <w:jc w:val="both"/>
      </w:pPr>
      <w:r>
        <w:rPr>
          <w:rFonts w:ascii="Times New Roman" w:hAnsi="Times New Roman"/>
          <w:sz w:val="24"/>
        </w:rPr>
        <w:t>Prior Exits: 2</w:t>
      </w:r>
    </w:p>
    <w:p>
      <w:pPr>
        <w:spacing w:before="240" w:line="360" w:lineRule="auto" w:after="120"/>
        <w:jc w:val="both"/>
      </w:pPr>
      <w:r>
        <w:rPr>
          <w:rFonts w:ascii="Times New Roman" w:hAnsi="Times New Roman"/>
          <w:b/>
          <w:sz w:val="24"/>
        </w:rPr>
        <w:t>12. ESG CONSIDERATIONS</w:t>
      </w:r>
    </w:p>
    <w:p>
      <w:pPr>
        <w:spacing w:line="360" w:lineRule="auto"/>
        <w:jc w:val="both"/>
      </w:pPr>
      <w:r>
        <w:rPr>
          <w:rFonts w:ascii="Times New Roman" w:hAnsi="Times New Roman"/>
          <w:sz w:val="24"/>
        </w:rPr>
        <w:t>StoreDot is developing extreme fast charging (XFC) lithium-ion battery technology aimed at accelerating electric vehicle (EV) adoption by addressing key barriers such as charging time and infrastructure limitations. Their technology promises significantly faster charging (100 miles in 5 minutes), long cycle life (&gt;1200 XFC cycles without degradation), and compatibility with existing Li-ion manufacturing, supporting scalability and cost-effectiveness. ESG considerations include a focus on reducing cobalt content, which mitigates environmental and social risks associated with cobalt mining, and a semi-solid, dry production approach that may lower environmental impact. The leadership team and advisory board bring strong industry expertise, supporting robust governance, though detailed disclosures on social policies and supply chain transparency are not provided. No recent ESG controversies or negative news were found in available sources. Overall, StoreDot aligns well with sustainability goals in clean transportation and regulatory trends favoring EVs but would benefit from more explicit reporting on social and governance practices.</w:t>
      </w:r>
    </w:p>
    <w:p>
      <w:pPr>
        <w:spacing w:before="240" w:line="360" w:lineRule="auto" w:after="120"/>
        <w:jc w:val="both"/>
      </w:pPr>
      <w:r>
        <w:rPr>
          <w:rFonts w:ascii="Times New Roman" w:hAnsi="Times New Roman"/>
          <w:b/>
          <w:sz w:val="24"/>
        </w:rPr>
        <w:t>13. RISKS &amp; MITIGATIONS</w:t>
      </w:r>
    </w:p>
    <w:p>
      <w:pPr>
        <w:spacing w:line="360" w:lineRule="auto"/>
        <w:jc w:val="both"/>
      </w:pPr>
      <w:r>
        <w:rPr>
          <w:rFonts w:ascii="Times New Roman" w:hAnsi="Times New Roman"/>
          <w:sz w:val="24"/>
        </w:rPr>
        <w:t>• Market competition</w:t>
      </w:r>
    </w:p>
    <w:p>
      <w:pPr>
        <w:spacing w:line="360" w:lineRule="auto"/>
        <w:jc w:val="both"/>
      </w:pPr>
      <w:r>
        <w:rPr>
          <w:rFonts w:ascii="Times New Roman" w:hAnsi="Times New Roman"/>
          <w:sz w:val="24"/>
        </w:rPr>
        <w:t>• Regulatory risks</w:t>
      </w:r>
    </w:p>
    <w:p>
      <w:pPr>
        <w:spacing w:line="360" w:lineRule="auto"/>
        <w:jc w:val="both"/>
      </w:pPr>
      <w:r>
        <w:rPr>
          <w:rFonts w:ascii="Times New Roman" w:hAnsi="Times New Roman"/>
          <w:sz w:val="24"/>
        </w:rPr>
        <w:t>• Financial health</w:t>
      </w:r>
    </w:p>
    <w:p>
      <w:pPr>
        <w:spacing w:line="360" w:lineRule="auto"/>
        <w:jc w:val="both"/>
      </w:pPr>
      <w:r>
        <w:rPr>
          <w:rFonts w:ascii="Times New Roman" w:hAnsi="Times New Roman"/>
          <w:sz w:val="24"/>
        </w:rPr>
        <w:t>• Regulatory: Compliance with evolving standards and certifications is required.</w:t>
      </w:r>
    </w:p>
    <w:p>
      <w:pPr>
        <w:spacing w:before="240" w:line="360" w:lineRule="auto" w:after="120"/>
        <w:jc w:val="both"/>
      </w:pPr>
      <w:r>
        <w:rPr>
          <w:rFonts w:ascii="Times New Roman" w:hAnsi="Times New Roman"/>
          <w:b/>
          <w:sz w:val="24"/>
        </w:rPr>
        <w:t>14. INVESTMENT &amp; EXIT STRATEGIES</w:t>
      </w:r>
    </w:p>
    <w:p>
      <w:pPr>
        <w:spacing w:line="360" w:lineRule="auto"/>
        <w:jc w:val="both"/>
      </w:pPr>
      <w:r>
        <w:rPr>
          <w:rFonts w:ascii="Times New Roman" w:hAnsi="Times New Roman"/>
          <w:sz w:val="24"/>
        </w:rPr>
        <w:t>Based on the information provided, StoreDot's extreme fast charging battery technology seems to have a strong potential for acquisition by major electric vehicle manufacturers looking to enhance their charging capabilities. The company's technology, which is commercially ready in 2025, could also attract interest from investors for an IPO in the future. Recommended exit strategies could include strategic partnerships with EV companies or battery manufacturers, with a potential exit timeline within the next 3-5 years. However, more data on the company's financials, market traction, and partnerships would be needed to provide a more detailed analysis.</w:t>
      </w:r>
    </w:p>
    <w:p>
      <w:pPr>
        <w:spacing w:before="240" w:line="360" w:lineRule="auto" w:after="120"/>
        <w:jc w:val="both"/>
      </w:pPr>
      <w:r>
        <w:rPr>
          <w:rFonts w:ascii="Times New Roman" w:hAnsi="Times New Roman"/>
          <w:b/>
          <w:sz w:val="24"/>
        </w:rPr>
        <w:t>15. FOLLOW-UP QUESTIONS &amp; NEXT STEPS</w:t>
      </w:r>
    </w:p>
    <w:p>
      <w:pPr>
        <w:spacing w:line="360" w:lineRule="auto"/>
        <w:jc w:val="both"/>
      </w:pPr>
      <w:r>
        <w:rPr>
          <w:rFonts w:ascii="Times New Roman" w:hAnsi="Times New Roman"/>
          <w:sz w:val="24"/>
        </w:rPr>
        <w:t>• - Technology Validation &amp; IP</w:t>
      </w:r>
    </w:p>
    <w:p>
      <w:pPr>
        <w:spacing w:line="360" w:lineRule="auto"/>
        <w:jc w:val="both"/>
      </w:pPr>
      <w:r>
        <w:rPr>
          <w:rFonts w:ascii="Times New Roman" w:hAnsi="Times New Roman"/>
          <w:sz w:val="24"/>
        </w:rPr>
        <w:t>• - Request detailed third-party test results validating the 10-minute charging claim and &gt;1200 cycle life under extreme fast charging conditions.</w:t>
      </w:r>
    </w:p>
    <w:p>
      <w:pPr>
        <w:spacing w:line="360" w:lineRule="auto"/>
        <w:jc w:val="both"/>
      </w:pPr>
      <w:r>
        <w:rPr>
          <w:rFonts w:ascii="Times New Roman" w:hAnsi="Times New Roman"/>
          <w:sz w:val="24"/>
        </w:rPr>
        <w:t>• - Clarify the scope and geographic coverage of the 78 granted and 22 pending patents; assess potential IP risks or overlaps.</w:t>
      </w:r>
    </w:p>
    <w:p>
      <w:pPr>
        <w:spacing w:line="360" w:lineRule="auto"/>
        <w:jc w:val="both"/>
      </w:pPr>
      <w:r>
        <w:rPr>
          <w:rFonts w:ascii="Times New Roman" w:hAnsi="Times New Roman"/>
          <w:sz w:val="24"/>
        </w:rPr>
        <w:t>• - Obtain data on battery performance degradation over time and under real-world usage scenarios.</w:t>
      </w:r>
    </w:p>
    <w:p>
      <w:pPr>
        <w:spacing w:line="360" w:lineRule="auto"/>
        <w:jc w:val="both"/>
      </w:pPr>
      <w:r>
        <w:rPr>
          <w:rFonts w:ascii="Times New Roman" w:hAnsi="Times New Roman"/>
          <w:sz w:val="24"/>
        </w:rPr>
        <w:t>• - OEM &amp; Manufacturing Partnerships</w:t>
      </w:r>
    </w:p>
    <w:p>
      <w:pPr>
        <w:spacing w:line="360" w:lineRule="auto"/>
        <w:jc w:val="both"/>
      </w:pPr>
      <w:r>
        <w:rPr>
          <w:rFonts w:ascii="Times New Roman" w:hAnsi="Times New Roman"/>
          <w:sz w:val="24"/>
        </w:rPr>
        <w:t>• - Identify the &gt;15 OEMs and manufacturing partners currently testing the 100in5 cells; understand their level of commitment and timelines for integration.</w:t>
      </w:r>
    </w:p>
    <w:p>
      <w:pPr>
        <w:spacing w:line="360" w:lineRule="auto"/>
        <w:jc w:val="both"/>
      </w:pPr>
      <w:r>
        <w:rPr>
          <w:rFonts w:ascii="Times New Roman" w:hAnsi="Times New Roman"/>
          <w:sz w:val="24"/>
        </w:rPr>
        <w:t>• - Request letters of intent (LOIs) or contracts from key OEMs to assess commercial traction.</w:t>
      </w:r>
    </w:p>
    <w:p>
      <w:pPr>
        <w:spacing w:line="360" w:lineRule="auto"/>
        <w:jc w:val="both"/>
      </w:pPr>
      <w:r>
        <w:rPr>
          <w:rFonts w:ascii="Times New Roman" w:hAnsi="Times New Roman"/>
          <w:sz w:val="24"/>
        </w:rPr>
        <w:t>• - Clarify manufacturing scale-up plans and timelines for production readiness in 2024 and 2028; confirm capacity and CAPEX requirements.</w:t>
      </w:r>
    </w:p>
    <w:p>
      <w:pPr>
        <w:spacing w:line="360" w:lineRule="auto"/>
        <w:jc w:val="both"/>
      </w:pPr>
      <w:r>
        <w:rPr>
          <w:rFonts w:ascii="Times New Roman" w:hAnsi="Times New Roman"/>
          <w:sz w:val="24"/>
        </w:rPr>
        <w:t>• - Technology Scalability &amp; Cost</w:t>
      </w:r>
    </w:p>
    <w:p>
      <w:pPr>
        <w:spacing w:line="360" w:lineRule="auto"/>
        <w:jc w:val="both"/>
      </w:pPr>
      <w:r>
        <w:rPr>
          <w:rFonts w:ascii="Times New Roman" w:hAnsi="Times New Roman"/>
          <w:sz w:val="24"/>
        </w:rPr>
        <w:t>• - Request detailed cost modeling and comparison with incumbent Li-ion batteries and competing technologies.</w:t>
      </w:r>
    </w:p>
    <w:p>
      <w:pPr>
        <w:spacing w:line="360" w:lineRule="auto"/>
        <w:jc w:val="both"/>
      </w:pPr>
      <w:r>
        <w:rPr>
          <w:rFonts w:ascii="Times New Roman" w:hAnsi="Times New Roman"/>
          <w:sz w:val="24"/>
        </w:rPr>
        <w:t>• - Confirm compatibility with existing Li-ion production lines and any required modifications or investments.</w:t>
      </w:r>
    </w:p>
    <w:p>
      <w:pPr>
        <w:spacing w:line="360" w:lineRule="auto"/>
        <w:jc w:val="both"/>
      </w:pPr>
      <w:r>
        <w:rPr>
          <w:rFonts w:ascii="Times New Roman" w:hAnsi="Times New Roman"/>
          <w:sz w:val="24"/>
        </w:rPr>
        <w:t>• - Understand supply chain dependencies, especially for silicon anode materials and semi-solid state components.</w:t>
      </w:r>
    </w:p>
    <w:p>
      <w:pPr>
        <w:spacing w:line="360" w:lineRule="auto"/>
        <w:jc w:val="both"/>
      </w:pPr>
      <w:r>
        <w:rPr>
          <w:rFonts w:ascii="Times New Roman" w:hAnsi="Times New Roman"/>
          <w:sz w:val="24"/>
        </w:rPr>
        <w:t>• - Competitive Landscape &amp; Differentiation</w:t>
      </w:r>
    </w:p>
    <w:p>
      <w:pPr>
        <w:spacing w:line="360" w:lineRule="auto"/>
        <w:jc w:val="both"/>
      </w:pPr>
      <w:r>
        <w:rPr>
          <w:rFonts w:ascii="Times New Roman" w:hAnsi="Times New Roman"/>
          <w:sz w:val="24"/>
        </w:rPr>
        <w:t>• - Obtain a detailed competitive analysis including emerging solid-state and semi-solid state battery startups.</w:t>
      </w:r>
    </w:p>
    <w:p>
      <w:pPr>
        <w:spacing w:line="360" w:lineRule="auto"/>
        <w:jc w:val="both"/>
      </w:pPr>
      <w:r>
        <w:rPr>
          <w:rFonts w:ascii="Times New Roman" w:hAnsi="Times New Roman"/>
          <w:sz w:val="24"/>
        </w:rPr>
        <w:t>• - Clarify StoreDot’s sustainable production approach and cobalt reduction strategy relative to competitors.</w:t>
      </w:r>
    </w:p>
    <w:p>
      <w:pPr>
        <w:spacing w:line="360" w:lineRule="auto"/>
        <w:jc w:val="both"/>
      </w:pPr>
      <w:r>
        <w:rPr>
          <w:rFonts w:ascii="Times New Roman" w:hAnsi="Times New Roman"/>
          <w:sz w:val="24"/>
        </w:rPr>
        <w:t>• - Market Adoption &amp; Infrastructure</w:t>
      </w:r>
    </w:p>
    <w:p>
      <w:pPr>
        <w:spacing w:line="360" w:lineRule="auto"/>
        <w:jc w:val="both"/>
      </w:pPr>
      <w:r>
        <w:rPr>
          <w:rFonts w:ascii="Times New Roman" w:hAnsi="Times New Roman"/>
          <w:sz w:val="24"/>
        </w:rPr>
        <w:t>• - Assess StoreDot’s strategy to address charging infrastructure challenges and connector standardization issues.</w:t>
      </w:r>
    </w:p>
    <w:p>
      <w:pPr>
        <w:spacing w:line="360" w:lineRule="auto"/>
        <w:jc w:val="both"/>
      </w:pPr>
      <w:r>
        <w:rPr>
          <w:rFonts w:ascii="Times New Roman" w:hAnsi="Times New Roman"/>
          <w:sz w:val="24"/>
        </w:rPr>
        <w:t>• - Understand how StoreDot plans to collaborate with charging network providers or influence standards.</w:t>
      </w:r>
    </w:p>
    <w:p>
      <w:pPr>
        <w:spacing w:line="360" w:lineRule="auto"/>
        <w:jc w:val="both"/>
      </w:pPr>
      <w:r>
        <w:rPr>
          <w:rFonts w:ascii="Times New Roman" w:hAnsi="Times New Roman"/>
          <w:sz w:val="24"/>
        </w:rPr>
        <w:t>• - Financials &amp; Business Model</w:t>
      </w:r>
    </w:p>
    <w:p>
      <w:pPr>
        <w:spacing w:line="360" w:lineRule="auto"/>
        <w:jc w:val="both"/>
      </w:pPr>
      <w:r>
        <w:rPr>
          <w:rFonts w:ascii="Times New Roman" w:hAnsi="Times New Roman"/>
          <w:sz w:val="24"/>
        </w:rPr>
        <w:t>• - Request current financials, burn rate, and runway.</w:t>
      </w:r>
    </w:p>
    <w:p>
      <w:pPr>
        <w:spacing w:line="360" w:lineRule="auto"/>
        <w:jc w:val="both"/>
      </w:pPr>
      <w:r>
        <w:rPr>
          <w:rFonts w:ascii="Times New Roman" w:hAnsi="Times New Roman"/>
          <w:sz w:val="24"/>
        </w:rPr>
        <w:t>• - Clarify StoreDot’s revenue model: licensing vs. direct sales, pricing strategy, and expected margins.</w:t>
      </w:r>
    </w:p>
    <w:p>
      <w:pPr>
        <w:spacing w:line="360" w:lineRule="auto"/>
        <w:jc w:val="both"/>
      </w:pPr>
      <w:r>
        <w:rPr>
          <w:rFonts w:ascii="Times New Roman" w:hAnsi="Times New Roman"/>
          <w:sz w:val="24"/>
        </w:rPr>
        <w:t>• - Understand funding history, current valuation, and planned use of proceeds.</w:t>
      </w:r>
    </w:p>
    <w:p>
      <w:pPr>
        <w:spacing w:line="360" w:lineRule="auto"/>
        <w:jc w:val="both"/>
      </w:pPr>
      <w:r>
        <w:rPr>
          <w:rFonts w:ascii="Times New Roman" w:hAnsi="Times New Roman"/>
          <w:sz w:val="24"/>
        </w:rPr>
        <w:t>• - Regulatory &amp; Certification</w:t>
      </w:r>
    </w:p>
    <w:p>
      <w:pPr>
        <w:spacing w:line="360" w:lineRule="auto"/>
        <w:jc w:val="both"/>
      </w:pPr>
      <w:r>
        <w:rPr>
          <w:rFonts w:ascii="Times New Roman" w:hAnsi="Times New Roman"/>
          <w:sz w:val="24"/>
        </w:rPr>
        <w:t>• - Confirm progress on regulatory approvals and certifications required for automotive battery integration globally.</w:t>
      </w:r>
    </w:p>
    <w:p>
      <w:pPr>
        <w:spacing w:line="360" w:lineRule="auto"/>
        <w:jc w:val="both"/>
      </w:pPr>
      <w:r>
        <w:rPr>
          <w:rFonts w:ascii="Times New Roman" w:hAnsi="Times New Roman"/>
          <w:sz w:val="24"/>
        </w:rPr>
        <w:t>• - Team &amp; Execution Risk</w:t>
      </w:r>
    </w:p>
    <w:p>
      <w:pPr>
        <w:spacing w:line="360" w:lineRule="auto"/>
        <w:jc w:val="both"/>
      </w:pPr>
      <w:r>
        <w:rPr>
          <w:rFonts w:ascii="Times New Roman" w:hAnsi="Times New Roman"/>
          <w:sz w:val="24"/>
        </w:rPr>
        <w:t>• - Deep dive on leadership and key technical team members’ track record in scaling battery technologies.</w:t>
      </w:r>
    </w:p>
    <w:p>
      <w:pPr>
        <w:spacing w:line="360" w:lineRule="auto"/>
        <w:jc w:val="both"/>
      </w:pPr>
      <w:r>
        <w:rPr>
          <w:rFonts w:ascii="Times New Roman" w:hAnsi="Times New Roman"/>
          <w:sz w:val="24"/>
        </w:rPr>
        <w:t>• - Assess hiring plans and ability to attract top talent in a competitive market.</w:t>
      </w:r>
    </w:p>
    <w:p>
      <w:pPr>
        <w:spacing w:line="360" w:lineRule="auto"/>
        <w:jc w:val="both"/>
      </w:pPr>
      <w:r>
        <w:rPr>
          <w:rFonts w:ascii="Times New Roman" w:hAnsi="Times New Roman"/>
          <w:b/>
          <w:sz w:val="24"/>
        </w:rPr>
        <w:t>Next Steps for Due Diligence:</w:t>
      </w:r>
    </w:p>
    <w:p>
      <w:pPr>
        <w:spacing w:line="360" w:lineRule="auto"/>
        <w:jc w:val="both"/>
      </w:pPr>
      <w:r>
        <w:rPr>
          <w:rFonts w:ascii="Times New Roman" w:hAnsi="Times New Roman"/>
          <w:sz w:val="24"/>
        </w:rPr>
        <w:t>• - Schedule technical deep dive with CTO and R&amp;D leads.</w:t>
      </w:r>
    </w:p>
    <w:p>
      <w:pPr>
        <w:spacing w:line="360" w:lineRule="auto"/>
        <w:jc w:val="both"/>
      </w:pPr>
      <w:r>
        <w:rPr>
          <w:rFonts w:ascii="Times New Roman" w:hAnsi="Times New Roman"/>
          <w:sz w:val="24"/>
        </w:rPr>
        <w:t>• - Conduct reference checks with OEM partners.</w:t>
      </w:r>
    </w:p>
    <w:p>
      <w:pPr>
        <w:spacing w:line="360" w:lineRule="auto"/>
        <w:jc w:val="both"/>
      </w:pPr>
      <w:r>
        <w:rPr>
          <w:rFonts w:ascii="Times New Roman" w:hAnsi="Times New Roman"/>
          <w:sz w:val="24"/>
        </w:rPr>
        <w:t>• - Engage independent battery experts for technology and IP review.</w:t>
      </w:r>
    </w:p>
    <w:p>
      <w:pPr>
        <w:spacing w:line="360" w:lineRule="auto"/>
        <w:jc w:val="both"/>
      </w:pPr>
      <w:r>
        <w:rPr>
          <w:rFonts w:ascii="Times New Roman" w:hAnsi="Times New Roman"/>
          <w:sz w:val="24"/>
        </w:rPr>
        <w:t>• - Review detailed financial model and funding plan.</w:t>
      </w:r>
    </w:p>
    <w:p>
      <w:pPr>
        <w:spacing w:line="360" w:lineRule="auto"/>
        <w:jc w:val="both"/>
      </w:pPr>
      <w:r>
        <w:rPr>
          <w:rFonts w:ascii="Times New Roman" w:hAnsi="Times New Roman"/>
          <w:sz w:val="24"/>
        </w:rPr>
        <w:t>• - Monitor regulatory and certification progress.</w:t>
      </w:r>
    </w:p>
    <w:p>
      <w:pPr>
        <w:spacing w:line="360" w:lineRule="auto"/>
        <w:jc w:val="both"/>
      </w:pPr>
      <w:r>
        <w:rPr>
          <w:rFonts w:ascii="Times New Roman" w:hAnsi="Times New Roman"/>
          <w:sz w:val="24"/>
        </w:rPr>
        <w:t>• If these areas are addressed satisfactorily, proceed to term sheet drafting.</w:t>
      </w:r>
    </w:p>
    <w:p>
      <w:pPr>
        <w:spacing w:before="240" w:line="360" w:lineRule="auto" w:after="120"/>
        <w:jc w:val="both"/>
      </w:pPr>
      <w:r>
        <w:rPr>
          <w:rFonts w:ascii="Times New Roman" w:hAnsi="Times New Roman"/>
          <w:b/>
          <w:sz w:val="24"/>
        </w:rPr>
        <w:t>16. FIGURES &amp; VISUALS</w:t>
      </w:r>
    </w:p>
    <w:p>
      <w:pPr>
        <w:spacing w:before="240" w:line="360" w:lineRule="auto" w:after="120"/>
        <w:jc w:val="both"/>
      </w:pPr>
      <w:r>
        <w:rPr>
          <w:rFonts w:ascii="Times New Roman" w:hAnsi="Times New Roman"/>
          <w:b/>
          <w:sz w:val="24"/>
        </w:rPr>
        <w:t>17. APPENDIX: ADDITIONAL TABLES</w:t>
      </w:r>
    </w:p>
    <w:p>
      <w:pPr>
        <w:spacing w:before="240" w:line="360" w:lineRule="auto" w:after="120"/>
        <w:jc w:val="both"/>
      </w:pPr>
      <w:r>
        <w:rPr>
          <w:rFonts w:ascii="Times New Roman" w:hAnsi="Times New Roman"/>
          <w:b/>
          <w:sz w:val="24"/>
        </w:rPr>
        <w:t>18. DISCUSSION &amp; ANALYST COMMENTARY</w:t>
      </w:r>
    </w:p>
    <w:p>
      <w:pPr>
        <w:spacing w:line="360" w:lineRule="auto"/>
        <w:jc w:val="both"/>
      </w:pPr>
      <w:r>
        <w:rPr>
          <w:rFonts w:ascii="Times New Roman" w:hAnsi="Times New Roman"/>
          <w:sz w:val="24"/>
        </w:rPr>
        <w:t>**Analyst Commentary on StoreDot Investment Memo**</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 Key Strengths</w:t>
      </w:r>
    </w:p>
    <w:p>
      <w:pPr>
        <w:spacing w:line="360" w:lineRule="auto"/>
        <w:jc w:val="both"/>
      </w:pPr>
      <w:r>
        <w:rPr>
          <w:rFonts w:ascii="Times New Roman" w:hAnsi="Times New Roman"/>
          <w:sz w:val="24"/>
        </w:rPr>
        <w:t>• **Technological Innovation &amp; Moat:** StoreDot’s silicon-dominant anode lithium-ion battery technology claims a 3-5 year lead in extreme fast charging (XFC), enabling 100 miles of range in 5-10 minutes. This addresses a critical EV adoption barrier—charging time—and could be a game-changer if validated.</w:t>
      </w:r>
    </w:p>
    <w:p>
      <w:pPr>
        <w:spacing w:line="360" w:lineRule="auto"/>
        <w:jc w:val="both"/>
      </w:pPr>
      <w:r>
        <w:rPr>
          <w:rFonts w:ascii="Times New Roman" w:hAnsi="Times New Roman"/>
          <w:sz w:val="24"/>
        </w:rPr>
        <w:t>• **Strong IP Position:** With 78 granted US patents and 22 pending, StoreDot has a robust intellectual property portfolio, which can provide defensibility and licensing leverage.</w:t>
      </w:r>
    </w:p>
    <w:p>
      <w:pPr>
        <w:spacing w:line="360" w:lineRule="auto"/>
        <w:jc w:val="both"/>
      </w:pPr>
      <w:r>
        <w:rPr>
          <w:rFonts w:ascii="Times New Roman" w:hAnsi="Times New Roman"/>
          <w:sz w:val="24"/>
        </w:rPr>
        <w:t>• **Go-to-Market Strategy &amp; Partnerships:** Licensing model focused on drop-in compatibility with existing Li-ion manufacturing lines reduces capital intensity and accelerates scalability. Engagement with 15+ OEMs indicates promising industry validation and potential for commercial traction.</w:t>
      </w:r>
    </w:p>
    <w:p>
      <w:pPr>
        <w:spacing w:line="360" w:lineRule="auto"/>
        <w:jc w:val="both"/>
      </w:pPr>
      <w:r>
        <w:rPr>
          <w:rFonts w:ascii="Times New Roman" w:hAnsi="Times New Roman"/>
          <w:sz w:val="24"/>
        </w:rPr>
        <w:t>• **ESG Alignment:** Reduced cobalt content and semi-solid/dry production methods align with sustainability trends, potentially lowering environmental and social risks.</w:t>
      </w:r>
    </w:p>
    <w:p>
      <w:pPr>
        <w:spacing w:line="360" w:lineRule="auto"/>
        <w:jc w:val="both"/>
      </w:pPr>
      <w:r>
        <w:rPr>
          <w:rFonts w:ascii="Times New Roman" w:hAnsi="Times New Roman"/>
          <w:sz w:val="24"/>
        </w:rPr>
        <w:t>• **Clear Roadmap:** The company has a staged technology roadmap targeting semi-solid batteries by 2028 and post-lithium by 2032, suggesting long-term innovation planning.</w:t>
      </w:r>
    </w:p>
    <w:p>
      <w:pPr>
        <w:spacing w:line="360" w:lineRule="auto"/>
        <w:jc w:val="both"/>
      </w:pPr>
      <w:r>
        <w:rPr>
          <w:rFonts w:ascii="Times New Roman" w:hAnsi="Times New Roman"/>
          <w:sz w:val="24"/>
        </w:rPr>
        <w:t>### Key Weaknesses</w:t>
      </w:r>
    </w:p>
    <w:p>
      <w:pPr>
        <w:spacing w:line="360" w:lineRule="auto"/>
        <w:jc w:val="both"/>
      </w:pPr>
      <w:r>
        <w:rPr>
          <w:rFonts w:ascii="Times New Roman" w:hAnsi="Times New Roman"/>
          <w:sz w:val="24"/>
        </w:rPr>
        <w:t>• **Lack of Financial Transparency:** No disclosed financials, funding stage, burn rate, or valuation history severely limit assessment of financial health and runway.</w:t>
      </w:r>
    </w:p>
    <w:p>
      <w:pPr>
        <w:spacing w:line="360" w:lineRule="auto"/>
        <w:jc w:val="both"/>
      </w:pPr>
      <w:r>
        <w:rPr>
          <w:rFonts w:ascii="Times New Roman" w:hAnsi="Times New Roman"/>
          <w:sz w:val="24"/>
        </w:rPr>
        <w:t>• **Unverified Technical Claims:** Critical performance metrics (charging speed, cycle life, degradation) lack independent third-party validation. Without this, technology risk remains high.</w:t>
      </w:r>
    </w:p>
    <w:p>
      <w:pPr>
        <w:spacing w:line="360" w:lineRule="auto"/>
        <w:jc w:val="both"/>
      </w:pPr>
      <w:r>
        <w:rPr>
          <w:rFonts w:ascii="Times New Roman" w:hAnsi="Times New Roman"/>
          <w:sz w:val="24"/>
        </w:rPr>
        <w:t>• **Market Size Data Ambiguity:** TAM/SAM/SOM figures appear inconsistent or misstated (e.g., TAM $120K is likely a typo or misrepresentation), and company projections require independent verification.</w:t>
      </w:r>
    </w:p>
    <w:p>
      <w:pPr>
        <w:spacing w:line="360" w:lineRule="auto"/>
        <w:jc w:val="both"/>
      </w:pPr>
      <w:r>
        <w:rPr>
          <w:rFonts w:ascii="Times New Roman" w:hAnsi="Times New Roman"/>
          <w:sz w:val="24"/>
        </w:rPr>
        <w:t>• **Limited Details on Manufacturing Scale-Up:** No clear information on production capacity, CAPEX requirements, or supply chain dependencies, especially for silicon anode materials.</w:t>
      </w:r>
    </w:p>
    <w:p>
      <w:pPr>
        <w:spacing w:line="360" w:lineRule="auto"/>
        <w:jc w:val="both"/>
      </w:pPr>
      <w:r>
        <w:rPr>
          <w:rFonts w:ascii="Times New Roman" w:hAnsi="Times New Roman"/>
          <w:sz w:val="24"/>
        </w:rPr>
        <w:t>• **Regulatory &amp; Certification Status Unclear:** Automotive battery integration requires rigorous certifications; progress here is unspecified, posing potential go-to-market delays.</w:t>
      </w:r>
    </w:p>
    <w:p>
      <w:pPr>
        <w:spacing w:line="360" w:lineRule="auto"/>
        <w:jc w:val="both"/>
      </w:pPr>
      <w:r>
        <w:rPr>
          <w:rFonts w:ascii="Times New Roman" w:hAnsi="Times New Roman"/>
          <w:sz w:val="24"/>
        </w:rPr>
        <w:t>• **Competitive Landscape:** Competitors like QuantumScape and Sila Nanotechnologies are also advancing fast-charging and silicon-anode tech, potentially eroding StoreDot’s lead.</w:t>
      </w:r>
    </w:p>
    <w:p>
      <w:pPr>
        <w:spacing w:line="360" w:lineRule="auto"/>
        <w:jc w:val="both"/>
      </w:pPr>
      <w:r>
        <w:rPr>
          <w:rFonts w:ascii="Times New Roman" w:hAnsi="Times New Roman"/>
          <w:sz w:val="24"/>
        </w:rPr>
        <w:t>### Opportunities</w:t>
      </w:r>
    </w:p>
    <w:p>
      <w:pPr>
        <w:spacing w:line="360" w:lineRule="auto"/>
        <w:jc w:val="both"/>
      </w:pPr>
      <w:r>
        <w:rPr>
          <w:rFonts w:ascii="Times New Roman" w:hAnsi="Times New Roman"/>
          <w:sz w:val="24"/>
        </w:rPr>
        <w:t>• **Mass EV Adoption Catalyst:** If StoreDot delivers on XFC claims, it could unlock significant EV market growth by alleviating charging anxiety, a major adoption barrier.</w:t>
      </w:r>
    </w:p>
    <w:p>
      <w:pPr>
        <w:spacing w:line="360" w:lineRule="auto"/>
        <w:jc w:val="both"/>
      </w:pPr>
      <w:r>
        <w:rPr>
          <w:rFonts w:ascii="Times New Roman" w:hAnsi="Times New Roman"/>
          <w:sz w:val="24"/>
        </w:rPr>
        <w:t>• **Licensing Model Scalability:** Partnering with OEMs and battery manufacturers globally allows rapid market penetration without heavy capital expenditure.</w:t>
      </w:r>
    </w:p>
    <w:p>
      <w:pPr>
        <w:spacing w:line="360" w:lineRule="auto"/>
        <w:jc w:val="both"/>
      </w:pPr>
      <w:r>
        <w:rPr>
          <w:rFonts w:ascii="Times New Roman" w:hAnsi="Times New Roman"/>
          <w:sz w:val="24"/>
        </w:rPr>
        <w:t>• **Strategic Acquisitions or IPO:** Given the technology’s strategic value, StoreDot could be an attractive acquisition target for major EV or battery companies or pursue a public listing within 3-5 years.</w:t>
      </w:r>
    </w:p>
    <w:p>
      <w:pPr>
        <w:spacing w:line="360" w:lineRule="auto"/>
        <w:jc w:val="both"/>
      </w:pPr>
      <w:r>
        <w:rPr>
          <w:rFonts w:ascii="Times New Roman" w:hAnsi="Times New Roman"/>
          <w:sz w:val="24"/>
        </w:rPr>
        <w:t>• **ESG-Driven Demand:** Growing regulatory and consumer focus on sustainable battery materials could favor StoreDot’s cobalt-reduction and semi-solid production approach.</w:t>
      </w:r>
    </w:p>
    <w:p>
      <w:pPr>
        <w:spacing w:line="360" w:lineRule="auto"/>
        <w:jc w:val="both"/>
      </w:pPr>
      <w:r>
        <w:rPr>
          <w:rFonts w:ascii="Times New Roman" w:hAnsi="Times New Roman"/>
          <w:sz w:val="24"/>
        </w:rPr>
        <w:t>### Risks</w:t>
      </w:r>
    </w:p>
    <w:p>
      <w:pPr>
        <w:spacing w:line="360" w:lineRule="auto"/>
        <w:jc w:val="both"/>
      </w:pPr>
      <w:r>
        <w:rPr>
          <w:rFonts w:ascii="Times New Roman" w:hAnsi="Times New Roman"/>
          <w:sz w:val="24"/>
        </w:rPr>
        <w:t>• **Technology Execution Risk:** Scaling lab breakthroughs to commercial production is notoriously challenging in battery tech; failure to meet performance or safety standards could delay or derail adoption.</w:t>
      </w:r>
    </w:p>
    <w:p>
      <w:pPr>
        <w:spacing w:line="360" w:lineRule="auto"/>
        <w:jc w:val="both"/>
      </w:pPr>
      <w:r>
        <w:rPr>
          <w:rFonts w:ascii="Times New Roman" w:hAnsi="Times New Roman"/>
          <w:sz w:val="24"/>
        </w:rPr>
        <w:t>• **IP Litigation &amp; Overlap:** Patent scope and potential overlaps with competitors need thorough vetting to avoid costly disputes.</w:t>
      </w:r>
    </w:p>
    <w:p>
      <w:pPr>
        <w:spacing w:line="360" w:lineRule="auto"/>
        <w:jc w:val="both"/>
      </w:pPr>
      <w:r>
        <w:rPr>
          <w:rFonts w:ascii="Times New Roman" w:hAnsi="Times New Roman"/>
          <w:sz w:val="24"/>
        </w:rPr>
        <w:t>• **Market &amp; Regulatory Risks:** Evolving safety standards, certification delays, and policy changes could impact commercialization timelines.</w:t>
      </w:r>
    </w:p>
    <w:p>
      <w:pPr>
        <w:spacing w:line="360" w:lineRule="auto"/>
        <w:jc w:val="both"/>
      </w:pPr>
      <w:r>
        <w:rPr>
          <w:rFonts w:ascii="Times New Roman" w:hAnsi="Times New Roman"/>
          <w:sz w:val="24"/>
        </w:rPr>
        <w:t>• **Competitive Disruption:** Emerging solid-state and alternative chemistries may leapfrog StoreDot’s technology, eroding market share.</w:t>
      </w:r>
    </w:p>
    <w:p>
      <w:pPr>
        <w:spacing w:line="360" w:lineRule="auto"/>
        <w:jc w:val="both"/>
      </w:pPr>
      <w:r>
        <w:rPr>
          <w:rFonts w:ascii="Times New Roman" w:hAnsi="Times New Roman"/>
          <w:sz w:val="24"/>
        </w:rPr>
        <w:t>• **Financial &amp; Funding Risk:** Without disclosed financials, the risk of capital shortfall or dilution is unknown.</w:t>
      </w:r>
    </w:p>
    <w:p>
      <w:pPr>
        <w:spacing w:line="360" w:lineRule="auto"/>
        <w:jc w:val="both"/>
      </w:pPr>
      <w:r>
        <w:rPr>
          <w:rFonts w:ascii="Times New Roman" w:hAnsi="Times New Roman"/>
          <w:sz w:val="24"/>
        </w:rPr>
        <w:t>### Actionable Recommendations for Investors</w:t>
      </w:r>
    </w:p>
    <w:p>
      <w:pPr>
        <w:spacing w:line="360" w:lineRule="auto"/>
        <w:jc w:val="both"/>
      </w:pPr>
      <w:r>
        <w:rPr>
          <w:rFonts w:ascii="Times New Roman" w:hAnsi="Times New Roman"/>
          <w:sz w:val="24"/>
        </w:rPr>
        <w:t>1. **Prioritize Technical Validation:** Insist on independent third-party testing to verify charging speed, cycle life, safety, and degradation under real-world conditions before committing capital.</w:t>
      </w:r>
    </w:p>
    <w:p>
      <w:pPr>
        <w:spacing w:line="360" w:lineRule="auto"/>
        <w:jc w:val="both"/>
      </w:pPr>
      <w:r>
        <w:rPr>
          <w:rFonts w:ascii="Times New Roman" w:hAnsi="Times New Roman"/>
          <w:sz w:val="24"/>
        </w:rPr>
        <w:t>2. **Demand Financial Transparency:** Obtain detailed financials, including burn rate, runway, and funding history, to assess sustainability and valuation.</w:t>
      </w:r>
    </w:p>
    <w:p>
      <w:pPr>
        <w:spacing w:line="360" w:lineRule="auto"/>
        <w:jc w:val="both"/>
      </w:pPr>
      <w:r>
        <w:rPr>
          <w:rFonts w:ascii="Times New Roman" w:hAnsi="Times New Roman"/>
          <w:sz w:val="24"/>
        </w:rPr>
        <w:t>3. **Clarify OEM Commitments:** Secure LOIs or binding agreements from key OEM partners to confirm commercial traction and integration timelines.</w:t>
      </w:r>
    </w:p>
    <w:p>
      <w:pPr>
        <w:spacing w:line="360" w:lineRule="auto"/>
        <w:jc w:val="both"/>
      </w:pPr>
      <w:r>
        <w:rPr>
          <w:rFonts w:ascii="Times New Roman" w:hAnsi="Times New Roman"/>
          <w:sz w:val="24"/>
        </w:rPr>
        <w:t>4. **Assess Manufacturing &amp; Supply Chain Readiness:** Review scale-up plans, CAPEX needs, and raw material sourcing strategies to evaluate execution feasibility.</w:t>
      </w:r>
    </w:p>
    <w:p>
      <w:pPr>
        <w:spacing w:line="360" w:lineRule="auto"/>
        <w:jc w:val="both"/>
      </w:pPr>
      <w:r>
        <w:rPr>
          <w:rFonts w:ascii="Times New Roman" w:hAnsi="Times New Roman"/>
          <w:sz w:val="24"/>
        </w:rPr>
        <w:t>5. **Conduct IP &amp; Competitive Landscape Review:** Engage external experts to analyze patent coverage and competitive positioning to mitigate infringement and obsolescence risks.</w:t>
      </w:r>
    </w:p>
    <w:p>
      <w:pPr>
        <w:spacing w:line="360" w:lineRule="auto"/>
        <w:jc w:val="both"/>
      </w:pPr>
      <w:r>
        <w:rPr>
          <w:rFonts w:ascii="Times New Roman" w:hAnsi="Times New Roman"/>
          <w:sz w:val="24"/>
        </w:rPr>
        <w:t>6. **Monitor Regulatory Progress:** Track certification milestones critical for automotive adoption to anticipate go-to-market timing.</w:t>
      </w:r>
    </w:p>
    <w:p>
      <w:pPr>
        <w:spacing w:line="360" w:lineRule="auto"/>
        <w:jc w:val="both"/>
      </w:pPr>
      <w:r>
        <w:rPr>
          <w:rFonts w:ascii="Times New Roman" w:hAnsi="Times New Roman"/>
          <w:sz w:val="24"/>
        </w:rPr>
        <w:t>7. **Consider Staged Investment:** Structure funding rounds contingent on achieving technical and commercial milestones to manage risk.</w:t>
      </w:r>
    </w:p>
    <w:p>
      <w:pPr>
        <w:spacing w:line="360" w:lineRule="auto"/>
        <w:jc w:val="both"/>
      </w:pPr>
      <w:r>
        <w:rPr>
          <w:rFonts w:ascii="Times New Roman" w:hAnsi="Times New Roman"/>
          <w:sz w:val="24"/>
        </w:rPr>
        <w:t>### Summary</w:t>
      </w:r>
    </w:p>
    <w:p>
      <w:pPr>
        <w:spacing w:line="360" w:lineRule="auto"/>
        <w:jc w:val="both"/>
      </w:pPr>
      <w:r>
        <w:rPr>
          <w:rFonts w:ascii="Times New Roman" w:hAnsi="Times New Roman"/>
          <w:sz w:val="24"/>
        </w:rPr>
        <w:t>StoreDot presents a compelling technology proposition with potential to disrupt the EV battery market by solving a key pain point—charging time. Its licensing business model and strong IP portfolio are attractive. However, significant risks remain around unproven technical claims, financial opacity, competitive threats, and regulatory hurdles. Investors should adopt a cautious, due diligence-driven approach, focusing on independent validation and commercial traction before proceeding. If these risks are mitigated, StoreDot could represent a high-impact investment in the accelerating EV ecosystem.</w:t>
      </w:r>
    </w:p>
    <w:p>
      <w:pPr>
        <w:spacing w:line="360" w:lineRule="auto"/>
        <w:jc w:val="both"/>
      </w:pPr>
      <w:r>
        <w:rPr>
          <w:rFonts w:ascii="Times New Roman" w:hAnsi="Times New Roman"/>
          <w:sz w:val="24"/>
        </w:rPr>
        <w:t>Generated by VC Analysis System on July 14, 2025</w:t>
      </w:r>
    </w:p>
    <w:p>
      <w:pPr>
        <w:spacing w:line="360" w:lineRule="auto"/>
        <w:jc w:val="both"/>
      </w:pPr>
      <w:r>
        <w:rPr>
          <w:rFonts w:ascii="Times New Roman" w:hAnsi="Times New Roman"/>
          <w:sz w:val="24"/>
        </w:rPr>
        <w:t>Data Sources: Company documents, market research, competitive intelligence, technical analysis</w:t>
      </w:r>
    </w:p>
    <w:p>
      <w:pPr>
        <w:spacing w:line="360" w:lineRule="auto"/>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FCEAF" w14:textId="77777777" w:rsidR="009B3FE6" w:rsidRDefault="009B3FE6">
      <w:r>
        <w:separator/>
      </w:r>
    </w:p>
  </w:endnote>
  <w:endnote w:type="continuationSeparator" w:id="0">
    <w:p w14:paraId="6D05A3F4" w14:textId="77777777" w:rsidR="009B3FE6" w:rsidRDefault="009B3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635E5" w14:textId="77777777" w:rsidR="009B3FE6" w:rsidRDefault="009B3FE6">
      <w:r>
        <w:separator/>
      </w:r>
    </w:p>
  </w:footnote>
  <w:footnote w:type="continuationSeparator" w:id="0">
    <w:p w14:paraId="02DC1802" w14:textId="77777777" w:rsidR="009B3FE6" w:rsidRDefault="009B3F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8</Words>
  <Characters>48</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55</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25</cp:revision>
  <cp:lastPrinted>2012-08-22T12:07:00Z</cp:lastPrinted>
  <dcterms:created xsi:type="dcterms:W3CDTF">2025-07-11T11:27:00Z</dcterms:created>
  <dcterms:modified xsi:type="dcterms:W3CDTF">2025-07-14T05:43:00Z</dcterms:modified>
</cp:coreProperties>
</file>