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14, 2025 at 04:44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972B2B5"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jc w:val="both"/>
      </w:pPr>
      <w:r>
        <w:rPr>
          <w:rFonts w:ascii="Times New Roman" w:hAnsi="Times New Roman"/>
          <w:sz w:val="24"/>
        </w:rPr>
        <w:t>INVESTMENT MEMORANDUM – Storedot</w:t>
      </w:r>
    </w:p>
    <w:p>
      <w:pPr>
        <w:spacing w:before="240" w:line="360" w:lineRule="auto" w:after="120"/>
        <w:jc w:val="both"/>
      </w:pPr>
      <w:r>
        <w:rPr>
          <w:rFonts w:ascii="Times New Roman" w:hAnsi="Times New Roman"/>
          <w:b/>
          <w:sz w:val="24"/>
        </w:rPr>
        <w:t>1. DETAILED SUMMARY</w:t>
      </w:r>
    </w:p>
    <w:p>
      <w:pPr>
        <w:spacing w:line="360" w:lineRule="auto"/>
        <w:jc w:val="both"/>
      </w:pPr>
      <w:r>
        <w:rPr>
          <w:rFonts w:ascii="Times New Roman" w:hAnsi="Times New Roman"/>
          <w:sz w:val="24"/>
        </w:rPr>
        <w:t>StoreDot, founded by Doron Myersdorf, DSc,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jc w:val="both"/>
      </w:pPr>
      <w:r>
        <w:rPr>
          <w:rFonts w:ascii="Times New Roman" w:hAnsi="Times New Roman"/>
          <w:b/>
          <w:sz w:val="24"/>
        </w:rPr>
        <w:t>2. COMPANY OVERVIEW</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Undisclosed (no public data found)</w:t>
      </w:r>
    </w:p>
    <w:p>
      <w:pPr>
        <w:spacing w:line="360" w:lineRule="auto"/>
        <w:jc w:val="both"/>
      </w:pPr>
      <w:r>
        <w:rPr>
          <w:rFonts w:ascii="Times New Roman" w:hAnsi="Times New Roman"/>
          <w:sz w:val="24"/>
        </w:rPr>
        <w:t>Team: Doron Myersdorf, DSc</w:t>
      </w:r>
    </w:p>
    <w:p>
      <w:pPr>
        <w:spacing w:before="240" w:line="360" w:lineRule="auto" w:after="120"/>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jc w:val="both"/>
      </w:pPr>
      <w:r>
        <w:rPr>
          <w:rFonts w:ascii="Times New Roman" w:hAnsi="Times New Roman"/>
          <w:b/>
          <w:sz w:val="24"/>
        </w:rPr>
        <w:t>5. MARKET SIZE &amp; ANALYSIS</w:t>
      </w:r>
    </w:p>
    <w:p>
      <w:pPr>
        <w:spacing w:line="360" w:lineRule="auto"/>
        <w:jc w:val="both"/>
      </w:pPr>
      <w:r>
        <w:rPr>
          <w:rFonts w:ascii="Times New Roman" w:hAnsi="Times New Roman"/>
          <w:sz w:val="24"/>
        </w:rPr>
        <w:t>TAM $150 K, SAM $45 K, SOM $9 K; Market Penetration: 6.0 %</w:t>
      </w:r>
    </w:p>
    <w:p>
      <w:pPr>
        <w:spacing w:line="360" w:lineRule="auto"/>
        <w:jc w:val="both"/>
      </w:pPr>
      <w:r>
        <w:rPr>
          <w:rFonts w:ascii="Times New Roman" w:hAnsi="Times New Roman"/>
          <w:sz w:val="24"/>
        </w:rPr>
        <w:t>Discussion: 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jc w:val="both"/>
      </w:pPr>
      <w:r>
        <w:rPr>
          <w:rFonts w:ascii="Times New Roman" w:hAnsi="Times New Roman"/>
          <w:sz w:val="24"/>
        </w:rPr>
        <w:t>Battery Technology</w:t>
      </w:r>
    </w:p>
    <w:p>
      <w:pPr>
        <w:spacing w:before="240" w:line="360" w:lineRule="auto" w:after="120"/>
        <w:jc w:val="both"/>
      </w:pPr>
      <w:r>
        <w:rPr>
          <w:rFonts w:ascii="Times New Roman" w:hAnsi="Times New Roman"/>
          <w:b/>
          <w:sz w:val="24"/>
        </w:rPr>
        <w:t>6. COMPETITIVE LANDSCAPE</w:t>
      </w:r>
    </w:p>
    <w:p>
      <w:pPr>
        <w:spacing w:line="360" w:lineRule="auto"/>
        <w:jc w:val="both"/>
      </w:pPr>
      <w:r>
        <w:rPr>
          <w:rFonts w:ascii="Times New Roman" w:hAnsi="Times New Roman"/>
          <w:sz w:val="24"/>
        </w:rPr>
        <w:t>• QuantumScape: Developing solid-state lithium-metal batteries promising higher energy density and faster charging times.</w:t>
      </w:r>
    </w:p>
    <w:p>
      <w:pPr>
        <w:spacing w:line="360" w:lineRule="auto"/>
        <w:jc w:val="both"/>
      </w:pPr>
      <w:r>
        <w:rPr>
          <w:rFonts w:ascii="Times New Roman" w:hAnsi="Times New Roman"/>
          <w:sz w:val="24"/>
        </w:rPr>
        <w:t>• Sila Nanotechnologies: Focuses on silicon-dominant anode materials to improve battery energy density and charging speed.</w:t>
      </w:r>
    </w:p>
    <w:p>
      <w:pPr>
        <w:spacing w:line="360" w:lineRule="auto"/>
        <w:jc w:val="both"/>
      </w:pPr>
      <w:r>
        <w:rPr>
          <w:rFonts w:ascii="Times New Roman" w:hAnsi="Times New Roman"/>
          <w:sz w:val="24"/>
        </w:rPr>
        <w:t>• Enovix: Specializes in 3D silicon lithium-ion batteries with enhanced energy density and safety.</w:t>
      </w:r>
    </w:p>
    <w:p>
      <w:pPr>
        <w:spacing w:before="240" w:line="360" w:lineRule="auto" w:after="120"/>
        <w:jc w:val="both"/>
      </w:pPr>
      <w:r>
        <w:rPr>
          <w:rFonts w:ascii="Times New Roman" w:hAnsi="Times New Roman"/>
          <w:b/>
          <w:sz w:val="24"/>
        </w:rPr>
        <w:t>7. BUSINESS MODEL</w:t>
      </w:r>
    </w:p>
    <w:p>
      <w:pPr>
        <w:spacing w:line="360" w:lineRule="auto"/>
        <w:jc w:val="both"/>
      </w:pPr>
      <w:r>
        <w:rPr>
          <w:rFonts w:ascii="Times New Roman" w:hAnsi="Times New Roman"/>
          <w:sz w:val="24"/>
        </w:rPr>
        <w:t>StoreDot is a battery technology startup focused on enabling extreme fast charging (XFC) for electric vehicles (EVs) to accelerate mass adoption by addressing "charging anxiety" and infrastructure limitations. Their core business model centers on developing and licensing advanced silicon-dominant anode lithium-ion battery cells capable of charging 100 miles of range in 5-10 minutes, with commercial readiness targeted for 2025. Revenue streams likely include licensing fees and partnerships with OEMs and battery manufacturers, as evidenced by ongoing testing with over 15 global OEMs and manufacturing partners. StoreDot’s go-to-market strategy leverages compatibility with existing lithium-ion manufacturing lines, enabling scalable, cost-competitive production without requiring new capital-intensive facilities. This approach supports rapid scalability aligned with the EV industry’s timeline, positioning StoreDot ahead of competing battery technologies like solid-state batteries, which are expected later. No recent pivots were noted, but the company emphasizes a clear technology roadmap through 2032, focusing on incremental improvements in energy density and sustainability.</w:t>
      </w:r>
    </w:p>
    <w:p>
      <w:pPr>
        <w:spacing w:line="360" w:lineRule="auto"/>
        <w:jc w:val="both"/>
      </w:pPr>
      <w:r>
        <w:rPr>
          <w:rFonts w:ascii="Times New Roman" w:hAnsi="Times New Roman"/>
          <w:sz w:val="24"/>
        </w:rPr>
        <w:t>Sources: StoreDot April 2023 Corporate Overview; UBS Global Electric Vehicle Battery Makers report (cited in materials).</w:t>
      </w:r>
    </w:p>
    <w:p>
      <w:pPr>
        <w:spacing w:before="240" w:line="360" w:lineRule="auto" w:after="120"/>
        <w:jc w:val="both"/>
      </w:pPr>
      <w:r>
        <w:rPr>
          <w:rFonts w:ascii="Times New Roman" w:hAnsi="Times New Roman"/>
          <w:b/>
          <w:sz w:val="24"/>
        </w:rPr>
        <w:t>8. TECHNICAL DUE DILIGENCE</w:t>
      </w:r>
    </w:p>
    <w:p>
      <w:pPr>
        <w:spacing w:line="360" w:lineRule="auto"/>
        <w:jc w:val="both"/>
      </w:pPr>
      <w:r>
        <w:rPr>
          <w:rFonts w:ascii="Times New Roman" w:hAnsi="Times New Roman"/>
          <w:sz w:val="24"/>
        </w:rPr>
        <w:t>• Technical Feasibility and Performance: production.</w:t>
      </w:r>
    </w:p>
    <w:p>
      <w:pPr>
        <w:spacing w:line="360" w:lineRule="auto"/>
        <w:jc w:val="both"/>
      </w:pPr>
      <w:r>
        <w:rPr>
          <w:rFonts w:ascii="Times New Roman" w:hAnsi="Times New Roman"/>
          <w:sz w:val="24"/>
        </w:rPr>
        <w:t>• Moat: StoreDot has a 3-5 years' lead on alternative solutions in extreme fast charging technology..</w:t>
      </w:r>
    </w:p>
    <w:p>
      <w:pPr>
        <w:spacing w:line="360" w:lineRule="auto"/>
        <w:jc w:val="both"/>
      </w:pPr>
      <w:r>
        <w:rPr>
          <w:rFonts w:ascii="Times New Roman" w:hAnsi="Times New Roman"/>
          <w:sz w:val="24"/>
        </w:rPr>
        <w:t>• Complexity: Not specified.</w:t>
      </w:r>
    </w:p>
    <w:p>
      <w:pPr>
        <w:spacing w:line="360" w:lineRule="auto"/>
        <w:jc w:val="both"/>
      </w:pPr>
      <w:r>
        <w:rPr>
          <w:rFonts w:ascii="Times New Roman" w:hAnsi="Times New Roman"/>
          <w:sz w:val="24"/>
        </w:rPr>
        <w:t>• Security: Product safety, data, and IP protection should be addressed.</w:t>
      </w:r>
    </w:p>
    <w:p>
      <w:pPr>
        <w:spacing w:line="360" w:lineRule="auto"/>
        <w:jc w:val="both"/>
      </w:pPr>
      <w:r>
        <w:rPr>
          <w:rFonts w:ascii="Times New Roman" w:hAnsi="Times New Roman"/>
          <w:sz w:val="24"/>
        </w:rPr>
        <w:t>• Implementation: Implementation details not specified.</w:t>
      </w:r>
    </w:p>
    <w:p>
      <w:pPr>
        <w:spacing w:line="360" w:lineRule="auto"/>
        <w:jc w:val="both"/>
      </w:pPr>
      <w:r>
        <w:rPr>
          <w:rFonts w:ascii="Times New Roman" w:hAnsi="Times New Roman"/>
          <w:sz w:val="24"/>
        </w:rPr>
        <w:t>• Assumption Risks: Assumption risks not specified.</w:t>
      </w:r>
    </w:p>
    <w:p>
      <w:pPr>
        <w:spacing w:line="360" w:lineRule="auto"/>
        <w:jc w:val="both"/>
      </w:pPr>
      <w:r>
        <w:rPr>
          <w:rFonts w:ascii="Times New Roman" w:hAnsi="Times New Roman"/>
          <w:sz w:val="24"/>
        </w:rPr>
        <w:t>• Regulatory: Compliance with industry standards and certifications is required.</w:t>
      </w:r>
    </w:p>
    <w:p>
      <w:pPr>
        <w:spacing w:line="360" w:lineRule="auto"/>
        <w:jc w:val="both"/>
      </w:pPr>
      <w:r>
        <w:rPr>
          <w:rFonts w:ascii="Times New Roman" w:hAnsi="Times New Roman"/>
          <w:sz w:val="24"/>
        </w:rPr>
        <w:t>• Testing: Independent validation and certification are recommended.</w:t>
      </w:r>
    </w:p>
    <w:p>
      <w:pPr>
        <w:spacing w:line="360" w:lineRule="auto"/>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jc w:val="both"/>
      </w:pPr>
      <w:r>
        <w:rPr>
          <w:rFonts w:ascii="Times New Roman" w:hAnsi="Times New Roman"/>
          <w:b/>
          <w:sz w:val="24"/>
        </w:rPr>
        <w:t>9. PRODUCT DESCRIPTION</w:t>
      </w:r>
    </w:p>
    <w:p>
      <w:pPr>
        <w:spacing w:line="360" w:lineRule="auto"/>
        <w:jc w:val="both"/>
      </w:pPr>
      <w:r>
        <w:rPr>
          <w:rFonts w:ascii="Times New Roman" w:hAnsi="Times New Roman"/>
          <w:sz w:val="24"/>
        </w:rPr>
        <w:t>StoreDot has a 3-5 years' lead on alternative solutions in extreme fast charging technology.</w:t>
      </w:r>
    </w:p>
    <w:p>
      <w:pPr>
        <w:spacing w:before="240" w:line="360" w:lineRule="auto" w:after="120"/>
        <w:jc w:val="both"/>
      </w:pPr>
      <w:r>
        <w:rPr>
          <w:rFonts w:ascii="Times New Roman" w:hAnsi="Times New Roman"/>
          <w:b/>
          <w:sz w:val="24"/>
        </w:rPr>
        <w:t>10. FINANCIAL ANALYSIS</w:t>
      </w:r>
    </w:p>
    <w:p>
      <w:pPr>
        <w:spacing w:line="360" w:lineRule="auto"/>
        <w:jc w:val="both"/>
      </w:pPr>
      <w:r>
        <w:rPr>
          <w:rFonts w:ascii="Times New Roman" w:hAnsi="Times New Roman"/>
          <w:sz w:val="24"/>
        </w:rPr>
        <w:t>Company has not released financials as of July 14, 2025.</w:t>
      </w:r>
    </w:p>
    <w:p>
      <w:pPr>
        <w:spacing w:line="360" w:lineRule="auto"/>
        <w:jc w:val="both"/>
      </w:pPr>
      <w:r>
        <w:rPr>
          <w:rFonts w:ascii="Times New Roman" w:hAnsi="Times New Roman"/>
          <w:sz w:val="24"/>
        </w:rPr>
        <w:t>Potential Annual Revenue (if full SOM captured): $900 M (Assumes ASP $100,000)</w:t>
      </w:r>
    </w:p>
    <w:p>
      <w:pPr>
        <w:spacing w:line="360" w:lineRule="auto"/>
        <w:jc w:val="both"/>
      </w:pPr>
      <w:r>
        <w:rPr>
          <w:rFonts w:ascii="Times New Roman" w:hAnsi="Times New Roman"/>
          <w:sz w:val="24"/>
        </w:rPr>
        <w:t>Potential Valuation (8x revenue): $7.2 B</w:t>
      </w:r>
    </w:p>
    <w:p>
      <w:pPr>
        <w:spacing w:before="240" w:line="360" w:lineRule="auto" w:after="120"/>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 DSc</w:t>
      </w:r>
    </w:p>
    <w:p>
      <w:pPr>
        <w:spacing w:line="360" w:lineRule="auto"/>
        <w:jc w:val="both"/>
      </w:pPr>
      <w:r>
        <w:rPr>
          <w:rFonts w:ascii="Times New Roman" w:hAnsi="Times New Roman"/>
          <w:sz w:val="24"/>
        </w:rPr>
        <w:t>Prior Exits: 2</w:t>
      </w:r>
    </w:p>
    <w:p>
      <w:pPr>
        <w:spacing w:before="240" w:line="360" w:lineRule="auto" w:after="120"/>
        <w:jc w:val="both"/>
      </w:pPr>
      <w:r>
        <w:rPr>
          <w:rFonts w:ascii="Times New Roman" w:hAnsi="Times New Roman"/>
          <w:b/>
          <w:sz w:val="24"/>
        </w:rPr>
        <w:t>12. ESG CONSIDERATIONS</w:t>
      </w:r>
    </w:p>
    <w:p>
      <w:pPr>
        <w:spacing w:line="360" w:lineRule="auto"/>
        <w:jc w:val="both"/>
      </w:pPr>
      <w:r>
        <w:rPr>
          <w:rFonts w:ascii="Times New Roman" w:hAnsi="Times New Roman"/>
          <w:sz w:val="24"/>
        </w:rPr>
        <w:t>StoreDot is developing extreme fast charging (XFC) lithium-ion battery technology aimed at accelerating electric vehicle (EV) adoption by addressing key barriers such as charging time and infrastructure limitations. Their technology promises charging times of around 10 minutes with minimal degradation over 1200 cycles, scalable using existing Li-ion manufacturing lines, and a roadmap toward reduced cobalt content and semi-solid battery chemistries, indicating a focus on sustainable materials and production. Socially, the technology could reduce "charging anxiety," improving EV user experience and supporting broader EV adoption, which aligns with global decarbonization goals. Governance appears strong with a leadership team experienced in automotive and tech sectors, supported by a global advisory board of EV industry experts. However, there is limited public information on StoreDot’s direct environmental impact metrics, labor practices, or regulatory compliance specifics, and no recent ESG controversies or news were identified in available sources. Further data on supply chain transparency and lifecycle emissions would be needed for a comprehensive ESG assessment.</w:t>
      </w:r>
    </w:p>
    <w:p>
      <w:pPr>
        <w:spacing w:line="360" w:lineRule="auto"/>
        <w:jc w:val="both"/>
      </w:pPr>
      <w:r>
        <w:rPr>
          <w:rFonts w:ascii="Times New Roman" w:hAnsi="Times New Roman"/>
          <w:sz w:val="24"/>
        </w:rPr>
        <w:t>Sources: StoreDot Corporate Overview April 2023; UBS Global Electric Vehicle Battery Makers report; internal company materials.</w:t>
      </w:r>
    </w:p>
    <w:p>
      <w:pPr>
        <w:spacing w:before="240" w:line="360" w:lineRule="auto" w:after="120"/>
        <w:jc w:val="both"/>
      </w:pPr>
      <w:r>
        <w:rPr>
          <w:rFonts w:ascii="Times New Roman" w:hAnsi="Times New Roman"/>
          <w:b/>
          <w:sz w:val="24"/>
        </w:rPr>
        <w:t>13. RISKS &amp; MITIGATIONS</w:t>
      </w:r>
    </w:p>
    <w:p>
      <w:pPr>
        <w:spacing w:line="360" w:lineRule="auto"/>
        <w:jc w:val="both"/>
      </w:pPr>
      <w:r>
        <w:rPr>
          <w:rFonts w:ascii="Times New Roman" w:hAnsi="Times New Roman"/>
          <w:sz w:val="24"/>
        </w:rPr>
        <w:t>• Market competition</w:t>
      </w:r>
    </w:p>
    <w:p>
      <w:pPr>
        <w:spacing w:line="360" w:lineRule="auto"/>
        <w:jc w:val="both"/>
      </w:pPr>
      <w:r>
        <w:rPr>
          <w:rFonts w:ascii="Times New Roman" w:hAnsi="Times New Roman"/>
          <w:sz w:val="24"/>
        </w:rPr>
        <w:t>• Financial health</w:t>
      </w:r>
    </w:p>
    <w:p>
      <w:pPr>
        <w:spacing w:line="360" w:lineRule="auto"/>
        <w:jc w:val="both"/>
      </w:pPr>
      <w:r>
        <w:rPr>
          <w:rFonts w:ascii="Times New Roman" w:hAnsi="Times New Roman"/>
          <w:sz w:val="24"/>
        </w:rPr>
        <w:t>• Regulatory risks</w:t>
      </w:r>
    </w:p>
    <w:p>
      <w:pPr>
        <w:spacing w:line="360" w:lineRule="auto"/>
        <w:jc w:val="both"/>
      </w:pPr>
      <w:r>
        <w:rPr>
          <w:rFonts w:ascii="Times New Roman" w:hAnsi="Times New Roman"/>
          <w:sz w:val="24"/>
        </w:rPr>
        <w:t>• Regulatory: Compliance with evolving standards and certifications is required.</w:t>
      </w:r>
    </w:p>
    <w:p>
      <w:pPr>
        <w:spacing w:before="240" w:line="360" w:lineRule="auto" w:after="120"/>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for EVs has the potential for a successful exit strategy. With a 3-5 year lead on alternative solutions and ongoing testing by OEMs and manufacturing partners, StoreDot could attract acquisition interest from major players in the EV industry looking to stay ahead of the competition. Additionally, StoreDot's technology scalability, patent portfolio, and competitive cost structure make it a strong candidate for IPO potential in the future. A recommended exit strategy could involve pursuing acquisition opportunities within the next 3-5 years or preparing for an IPO once the technology is commercially ready in 2025. Further information on financial projections, market traction, and potential acquirers would be needed to provide a more comprehensive analysis.</w:t>
      </w:r>
    </w:p>
    <w:p>
      <w:pPr>
        <w:spacing w:before="240" w:line="360" w:lineRule="auto" w:after="120"/>
        <w:jc w:val="both"/>
      </w:pPr>
      <w:r>
        <w:rPr>
          <w:rFonts w:ascii="Times New Roman" w:hAnsi="Times New Roman"/>
          <w:b/>
          <w:sz w:val="24"/>
        </w:rPr>
        <w:t>15. FOLLOW-UP QUESTIONS &amp; NEXT STEPS</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Request detailed third-party validation reports or test data confirming 10-minute charging claims and &gt;1200 cycle life under extreme fast charging conditions.</w:t>
      </w:r>
    </w:p>
    <w:p>
      <w:pPr>
        <w:spacing w:line="360" w:lineRule="auto"/>
        <w:jc w:val="both"/>
      </w:pPr>
      <w:r>
        <w:rPr>
          <w:rFonts w:ascii="Times New Roman" w:hAnsi="Times New Roman"/>
          <w:sz w:val="24"/>
        </w:rPr>
        <w:t>• Clarify the scope and geographic coverage of the 78 granted and 22 pending patents; assess potential IP risks or overlaps with competitors.</w:t>
      </w:r>
    </w:p>
    <w:p>
      <w:pPr>
        <w:spacing w:line="360" w:lineRule="auto"/>
        <w:jc w:val="both"/>
      </w:pPr>
      <w:r>
        <w:rPr>
          <w:rFonts w:ascii="Times New Roman" w:hAnsi="Times New Roman"/>
          <w:sz w:val="24"/>
        </w:rPr>
        <w:t>• Understand any dependencies or licensing requirements related to proprietary materials or processes.</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Obtain a list of the &gt;15 OEMs and manufacturing partners currently testing the 100in5 cells, including stage of engagement and feedback.</w:t>
      </w:r>
    </w:p>
    <w:p>
      <w:pPr>
        <w:spacing w:line="360" w:lineRule="auto"/>
        <w:jc w:val="both"/>
      </w:pPr>
      <w:r>
        <w:rPr>
          <w:rFonts w:ascii="Times New Roman" w:hAnsi="Times New Roman"/>
          <w:sz w:val="24"/>
        </w:rPr>
        <w:t>• Confirm timelines and commitments for commercial production readiness in 2024 and volume ramp plans.</w:t>
      </w:r>
    </w:p>
    <w:p>
      <w:pPr>
        <w:spacing w:line="360" w:lineRule="auto"/>
        <w:jc w:val="both"/>
      </w:pPr>
      <w:r>
        <w:rPr>
          <w:rFonts w:ascii="Times New Roman" w:hAnsi="Times New Roman"/>
          <w:sz w:val="24"/>
        </w:rPr>
        <w:t>• Assess manufacturing scale-up risks and supply chain robustness, especially raw material sourcing for silicon-dominant anodes.</w:t>
      </w:r>
    </w:p>
    <w:p>
      <w:pPr>
        <w:spacing w:line="360" w:lineRule="auto"/>
        <w:jc w:val="both"/>
      </w:pPr>
      <w:r>
        <w:rPr>
          <w:rFonts w:ascii="Times New Roman" w:hAnsi="Times New Roman"/>
          <w:b/>
          <w:sz w:val="24"/>
        </w:rPr>
        <w:t>Technology Roadmap &amp; Competitive Positioning</w:t>
      </w:r>
    </w:p>
    <w:p>
      <w:pPr>
        <w:spacing w:line="360" w:lineRule="auto"/>
        <w:jc w:val="both"/>
      </w:pPr>
      <w:r>
        <w:rPr>
          <w:rFonts w:ascii="Times New Roman" w:hAnsi="Times New Roman"/>
          <w:sz w:val="24"/>
        </w:rPr>
        <w:t>• Request more details on the semi-solid and post-lithium battery technologies planned for 2028 and 2032, including development milestones and go-to-market strategy.</w:t>
      </w:r>
    </w:p>
    <w:p>
      <w:pPr>
        <w:spacing w:line="360" w:lineRule="auto"/>
        <w:jc w:val="both"/>
      </w:pPr>
      <w:r>
        <w:rPr>
          <w:rFonts w:ascii="Times New Roman" w:hAnsi="Times New Roman"/>
          <w:sz w:val="24"/>
        </w:rPr>
        <w:t>• Clarify how StoreDot’s cost structure compares to incumbent Li-ion and emerging solid-state battery producers at scale.</w:t>
      </w:r>
    </w:p>
    <w:p>
      <w:pPr>
        <w:spacing w:line="360" w:lineRule="auto"/>
        <w:jc w:val="both"/>
      </w:pPr>
      <w:r>
        <w:rPr>
          <w:rFonts w:ascii="Times New Roman" w:hAnsi="Times New Roman"/>
          <w:sz w:val="24"/>
        </w:rPr>
        <w:t>• Evaluate competitive landscape updates since April 2023, including any new entrants or technology breakthroughs.</w:t>
      </w:r>
    </w:p>
    <w:p>
      <w:pPr>
        <w:spacing w:line="360" w:lineRule="auto"/>
        <w:jc w:val="both"/>
      </w:pPr>
      <w:r>
        <w:rPr>
          <w:rFonts w:ascii="Times New Roman" w:hAnsi="Times New Roman"/>
          <w:b/>
          <w:sz w:val="24"/>
        </w:rPr>
        <w:t>Market Adoption &amp; Commercial Strategy</w:t>
      </w:r>
    </w:p>
    <w:p>
      <w:pPr>
        <w:spacing w:line="360" w:lineRule="auto"/>
        <w:jc w:val="both"/>
      </w:pPr>
      <w:r>
        <w:rPr>
          <w:rFonts w:ascii="Times New Roman" w:hAnsi="Times New Roman"/>
          <w:sz w:val="24"/>
        </w:rPr>
        <w:t>• Understand StoreDot’s licensing model specifics: pricing, exclusivity, and geographic scope.</w:t>
      </w:r>
    </w:p>
    <w:p>
      <w:pPr>
        <w:spacing w:line="360" w:lineRule="auto"/>
        <w:jc w:val="both"/>
      </w:pPr>
      <w:r>
        <w:rPr>
          <w:rFonts w:ascii="Times New Roman" w:hAnsi="Times New Roman"/>
          <w:sz w:val="24"/>
        </w:rPr>
        <w:t>• Clarify plans to address charging infrastructure standardization and integration with existing fast-charging networks.</w:t>
      </w:r>
    </w:p>
    <w:p>
      <w:pPr>
        <w:spacing w:line="360" w:lineRule="auto"/>
        <w:jc w:val="both"/>
      </w:pPr>
      <w:r>
        <w:rPr>
          <w:rFonts w:ascii="Times New Roman" w:hAnsi="Times New Roman"/>
          <w:sz w:val="24"/>
        </w:rPr>
        <w:t>• Request customer pipeline details, including signed LOIs or contracts, and expected revenue projections.</w:t>
      </w:r>
    </w:p>
    <w:p>
      <w:pPr>
        <w:spacing w:line="360" w:lineRule="auto"/>
        <w:jc w:val="both"/>
      </w:pPr>
      <w:r>
        <w:rPr>
          <w:rFonts w:ascii="Times New Roman" w:hAnsi="Times New Roman"/>
          <w:b/>
          <w:sz w:val="24"/>
        </w:rPr>
        <w:t>Financials &amp; Funding</w:t>
      </w:r>
    </w:p>
    <w:p>
      <w:pPr>
        <w:spacing w:line="360" w:lineRule="auto"/>
        <w:jc w:val="both"/>
      </w:pPr>
      <w:r>
        <w:rPr>
          <w:rFonts w:ascii="Times New Roman" w:hAnsi="Times New Roman"/>
          <w:sz w:val="24"/>
        </w:rPr>
        <w:t>• Obtain current financial statements, burn rate, and funding runway.</w:t>
      </w:r>
    </w:p>
    <w:p>
      <w:pPr>
        <w:spacing w:line="360" w:lineRule="auto"/>
        <w:jc w:val="both"/>
      </w:pPr>
      <w:r>
        <w:rPr>
          <w:rFonts w:ascii="Times New Roman" w:hAnsi="Times New Roman"/>
          <w:sz w:val="24"/>
        </w:rPr>
        <w:t>• Clarify capital requirements for scaling production and R&amp;D through 2028.</w:t>
      </w:r>
    </w:p>
    <w:p>
      <w:pPr>
        <w:spacing w:line="360" w:lineRule="auto"/>
        <w:jc w:val="both"/>
      </w:pPr>
      <w:r>
        <w:rPr>
          <w:rFonts w:ascii="Times New Roman" w:hAnsi="Times New Roman"/>
          <w:sz w:val="24"/>
        </w:rPr>
        <w:t>• Understand exit strategy scenarios and expected valuation milestones.</w:t>
      </w:r>
    </w:p>
    <w:p>
      <w:pPr>
        <w:spacing w:line="360" w:lineRule="auto"/>
        <w:jc w:val="both"/>
      </w:pPr>
      <w:r>
        <w:rPr>
          <w:rFonts w:ascii="Times New Roman" w:hAnsi="Times New Roman"/>
          <w:b/>
          <w:sz w:val="24"/>
        </w:rPr>
        <w:t>Regulatory &amp; Sustainability</w:t>
      </w:r>
    </w:p>
    <w:p>
      <w:pPr>
        <w:spacing w:line="360" w:lineRule="auto"/>
        <w:jc w:val="both"/>
      </w:pPr>
      <w:r>
        <w:rPr>
          <w:rFonts w:ascii="Times New Roman" w:hAnsi="Times New Roman"/>
          <w:sz w:val="24"/>
        </w:rPr>
        <w:t>• Confirm compliance with relevant automotive and battery safety standards globally.</w:t>
      </w:r>
    </w:p>
    <w:p>
      <w:pPr>
        <w:spacing w:line="360" w:lineRule="auto"/>
        <w:jc w:val="both"/>
      </w:pPr>
      <w:r>
        <w:rPr>
          <w:rFonts w:ascii="Times New Roman" w:hAnsi="Times New Roman"/>
          <w:sz w:val="24"/>
        </w:rPr>
        <w:t>• Detail cobalt reduction and sustainability initiatives in production processes.</w:t>
      </w:r>
    </w:p>
    <w:p>
      <w:pPr>
        <w:spacing w:line="360" w:lineRule="auto"/>
        <w:jc w:val="both"/>
      </w:pPr>
      <w:r>
        <w:rPr>
          <w:rFonts w:ascii="Times New Roman" w:hAnsi="Times New Roman"/>
          <w:sz w:val="24"/>
        </w:rPr>
        <w:t>• Assess any regulatory risks related to new battery chemistries or materials.</w:t>
      </w:r>
    </w:p>
    <w:p>
      <w:pPr>
        <w:spacing w:line="360" w:lineRule="auto"/>
        <w:jc w:val="both"/>
      </w:pPr>
      <w:r>
        <w:rPr>
          <w:rFonts w:ascii="Times New Roman" w:hAnsi="Times New Roman"/>
          <w:b/>
          <w:sz w:val="24"/>
        </w:rPr>
        <w:t>Team &amp; Organizational</w:t>
      </w:r>
    </w:p>
    <w:p>
      <w:pPr>
        <w:spacing w:line="360" w:lineRule="auto"/>
        <w:jc w:val="both"/>
      </w:pPr>
      <w:r>
        <w:rPr>
          <w:rFonts w:ascii="Times New Roman" w:hAnsi="Times New Roman"/>
          <w:sz w:val="24"/>
        </w:rPr>
        <w:t>• Verify key team members’ ongoing involvement and any planned hires critical for scaling.</w:t>
      </w:r>
    </w:p>
    <w:p>
      <w:pPr>
        <w:spacing w:line="360" w:lineRule="auto"/>
        <w:jc w:val="both"/>
      </w:pPr>
      <w:r>
        <w:rPr>
          <w:rFonts w:ascii="Times New Roman" w:hAnsi="Times New Roman"/>
          <w:sz w:val="24"/>
        </w:rPr>
        <w:t>• Assess potential gaps in expertise, particularly in large-scale manufacturing and global commercialization.</w:t>
      </w:r>
    </w:p>
    <w:p>
      <w:pPr>
        <w:spacing w:line="360" w:lineRule="auto"/>
        <w:jc w:val="both"/>
      </w:pPr>
      <w:r>
        <w:rPr>
          <w:rFonts w:ascii="Times New Roman" w:hAnsi="Times New Roman"/>
          <w:b/>
          <w:sz w:val="24"/>
        </w:rPr>
        <w:t>Next Steps</w:t>
      </w:r>
    </w:p>
    <w:p>
      <w:pPr>
        <w:spacing w:line="360" w:lineRule="auto"/>
        <w:jc w:val="both"/>
      </w:pPr>
      <w:r>
        <w:rPr>
          <w:rFonts w:ascii="Times New Roman" w:hAnsi="Times New Roman"/>
          <w:sz w:val="24"/>
        </w:rPr>
        <w:t>• Schedule technical deep-dive session with CTO and R&amp;D leads.</w:t>
      </w:r>
    </w:p>
    <w:p>
      <w:pPr>
        <w:spacing w:line="360" w:lineRule="auto"/>
        <w:jc w:val="both"/>
      </w:pPr>
      <w:r>
        <w:rPr>
          <w:rFonts w:ascii="Times New Roman" w:hAnsi="Times New Roman"/>
          <w:sz w:val="24"/>
        </w:rPr>
        <w:t>• Conduct reference checks with OEM partners.</w:t>
      </w:r>
    </w:p>
    <w:p>
      <w:pPr>
        <w:spacing w:line="360" w:lineRule="auto"/>
        <w:jc w:val="both"/>
      </w:pPr>
      <w:r>
        <w:rPr>
          <w:rFonts w:ascii="Times New Roman" w:hAnsi="Times New Roman"/>
          <w:sz w:val="24"/>
        </w:rPr>
        <w:t>• Engage external battery technology experts for independent due diligence.</w:t>
      </w:r>
    </w:p>
    <w:p>
      <w:pPr>
        <w:spacing w:line="360" w:lineRule="auto"/>
        <w:jc w:val="both"/>
      </w:pPr>
      <w:r>
        <w:rPr>
          <w:rFonts w:ascii="Times New Roman" w:hAnsi="Times New Roman"/>
          <w:sz w:val="24"/>
        </w:rPr>
        <w:t>• Review updated financial and commercial documentation.</w:t>
      </w:r>
    </w:p>
    <w:p>
      <w:pPr>
        <w:spacing w:line="360" w:lineRule="auto"/>
        <w:jc w:val="both"/>
      </w:pPr>
      <w:r>
        <w:rPr>
          <w:rFonts w:ascii="Times New Roman" w:hAnsi="Times New Roman"/>
          <w:sz w:val="24"/>
        </w:rPr>
        <w:t>• Monitor competitive developments and regulatory landscape.</w:t>
      </w:r>
    </w:p>
    <w:p>
      <w:pPr>
        <w:spacing w:line="360" w:lineRule="auto"/>
        <w:jc w:val="both"/>
      </w:pPr>
      <w:r>
        <w:rPr>
          <w:rFonts w:ascii="Times New Roman" w:hAnsi="Times New Roman"/>
          <w:sz w:val="24"/>
        </w:rPr>
        <w:t>• If these areas are addressed satisfactorily, proceed to term sheet negotiation.</w:t>
      </w:r>
    </w:p>
    <w:p>
      <w:pPr>
        <w:spacing w:before="240" w:line="360" w:lineRule="auto" w:after="120"/>
        <w:jc w:val="both"/>
      </w:pPr>
      <w:r>
        <w:rPr>
          <w:rFonts w:ascii="Times New Roman" w:hAnsi="Times New Roman"/>
          <w:b/>
          <w:sz w:val="24"/>
        </w:rPr>
        <w:t>16. FIGURES &amp; VISUALS</w:t>
      </w:r>
    </w:p>
    <w:p>
      <w:pPr>
        <w:spacing w:before="240" w:line="360" w:lineRule="auto" w:after="120"/>
        <w:jc w:val="both"/>
      </w:pPr>
      <w:r>
        <w:rPr>
          <w:rFonts w:ascii="Times New Roman" w:hAnsi="Times New Roman"/>
          <w:b/>
          <w:sz w:val="24"/>
        </w:rPr>
        <w:t>17. APPENDIX: ADDITIONAL TABLES</w:t>
      </w:r>
    </w:p>
    <w:p>
      <w:pPr>
        <w:spacing w:before="240" w:line="360" w:lineRule="auto" w:after="120"/>
        <w:jc w:val="both"/>
      </w:pPr>
      <w:r>
        <w:rPr>
          <w:rFonts w:ascii="Times New Roman" w:hAnsi="Times New Roman"/>
          <w:b/>
          <w:sz w:val="24"/>
        </w:rPr>
        <w:t>18. DISCUSSION &amp; ANALYST COMMENTARY</w:t>
      </w:r>
    </w:p>
    <w:p>
      <w:pPr>
        <w:spacing w:before="240" w:line="360" w:lineRule="auto" w:after="120"/>
        <w:jc w:val="both"/>
      </w:pPr>
      <w:r>
        <w:rPr>
          <w:rFonts w:ascii="Times New Roman" w:hAnsi="Times New Roman"/>
          <w:b/>
          <w:sz w:val="24"/>
        </w:rPr>
        <w:t>Analyst Commentary on StoreDot Investment Memo</w:t>
      </w:r>
    </w:p>
    <w:p>
      <w:pPr>
        <w:spacing w:line="360" w:lineRule="auto"/>
        <w:jc w:val="both"/>
      </w:pPr>
      <w:r>
        <w:rPr>
          <w:rFonts w:ascii="Times New Roman" w:hAnsi="Times New Roman"/>
          <w:sz w:val="24"/>
        </w:rPr>
        <w:t>---</w:t>
      </w:r>
    </w:p>
    <w:p>
      <w:pPr>
        <w:spacing w:before="240" w:line="360" w:lineRule="auto" w:after="120"/>
        <w:jc w:val="both"/>
      </w:pPr>
      <w:r>
        <w:rPr>
          <w:rFonts w:ascii="Times New Roman" w:hAnsi="Times New Roman"/>
          <w:b/>
          <w:sz w:val="24"/>
        </w:rPr>
        <w:t>Key Strengths</w:t>
      </w:r>
    </w:p>
    <w:p>
      <w:pPr>
        <w:spacing w:line="360" w:lineRule="auto"/>
        <w:jc w:val="both"/>
      </w:pPr>
      <w:r>
        <w:rPr>
          <w:rFonts w:ascii="Times New Roman" w:hAnsi="Times New Roman"/>
          <w:sz w:val="24"/>
        </w:rPr>
        <w:t>- **Technology Leadership &amp; IP Moat:** StoreDot claims a 3-5 year lead in extreme fast charging (XFC) silicon-dominant anode lithium-ion batteries, supported by a strong patent portfolio (78 granted US patents). This positions them well ahead of many competitors in the fast-charging niche.</w:t>
      </w:r>
    </w:p>
    <w:p>
      <w:pPr>
        <w:spacing w:line="360" w:lineRule="auto"/>
        <w:jc w:val="both"/>
      </w:pPr>
      <w:r>
        <w:rPr>
          <w:rFonts w:ascii="Times New Roman" w:hAnsi="Times New Roman"/>
          <w:sz w:val="24"/>
        </w:rPr>
        <w:t>- **Market Relevance &amp; Timing:** The solution directly addresses a critical EV adoption barrier—charging time and range anxiety—offering 100 miles of range in 5-10 minutes. This aligns with growing EV demand and regulatory pushes for decarbonization.</w:t>
      </w:r>
    </w:p>
    <w:p>
      <w:pPr>
        <w:spacing w:line="360" w:lineRule="auto"/>
        <w:jc w:val="both"/>
      </w:pPr>
      <w:r>
        <w:rPr>
          <w:rFonts w:ascii="Times New Roman" w:hAnsi="Times New Roman"/>
          <w:sz w:val="24"/>
        </w:rPr>
        <w:t>- **Scalable Business Model:** Licensing a drop-in compatible technology that fits existing lithium-ion manufacturing lines reduces capital intensity and accelerates go-to-market timelines, targeting commercial readiness by 2025.</w:t>
      </w:r>
    </w:p>
    <w:p>
      <w:pPr>
        <w:spacing w:line="360" w:lineRule="auto"/>
        <w:jc w:val="both"/>
      </w:pPr>
      <w:r>
        <w:rPr>
          <w:rFonts w:ascii="Times New Roman" w:hAnsi="Times New Roman"/>
          <w:sz w:val="24"/>
        </w:rPr>
        <w:t>- **Strong Industry Partnerships:** Engagement with over 15 OEMs and manufacturing partners indicates promising validation and potential early adoption channels.</w:t>
      </w:r>
    </w:p>
    <w:p>
      <w:pPr>
        <w:spacing w:line="360" w:lineRule="auto"/>
        <w:jc w:val="both"/>
      </w:pPr>
      <w:r>
        <w:rPr>
          <w:rFonts w:ascii="Times New Roman" w:hAnsi="Times New Roman"/>
          <w:sz w:val="24"/>
        </w:rPr>
        <w:t>- **Clear Roadmap &amp; ESG Focus:** A technology roadmap extending to 2032 with plans for cobalt reduction and semi-solid chemistries demonstrates forward-looking sustainability and innovation focus.</w:t>
      </w:r>
    </w:p>
    <w:p>
      <w:pPr>
        <w:spacing w:before="240" w:line="360" w:lineRule="auto" w:after="120"/>
        <w:jc w:val="both"/>
      </w:pPr>
      <w:r>
        <w:rPr>
          <w:rFonts w:ascii="Times New Roman" w:hAnsi="Times New Roman"/>
          <w:b/>
          <w:sz w:val="24"/>
        </w:rPr>
        <w:t>Key Weaknesses</w:t>
      </w:r>
    </w:p>
    <w:p>
      <w:pPr>
        <w:spacing w:line="360" w:lineRule="auto"/>
        <w:jc w:val="both"/>
      </w:pPr>
      <w:r>
        <w:rPr>
          <w:rFonts w:ascii="Times New Roman" w:hAnsi="Times New Roman"/>
          <w:sz w:val="24"/>
        </w:rPr>
        <w:t>- **Lack of Financial Transparency:** No disclosed financials, funding stage, or burn rate limits assessment of financial health, runway, and capital needs.</w:t>
      </w:r>
    </w:p>
    <w:p>
      <w:pPr>
        <w:spacing w:line="360" w:lineRule="auto"/>
        <w:jc w:val="both"/>
      </w:pPr>
      <w:r>
        <w:rPr>
          <w:rFonts w:ascii="Times New Roman" w:hAnsi="Times New Roman"/>
          <w:sz w:val="24"/>
        </w:rPr>
        <w:t>- **Unverified Technical Claims:** Critical performance metrics (charging speed, cycle life, safety) lack independent third-party validation, raising execution and credibility risks.</w:t>
      </w:r>
    </w:p>
    <w:p>
      <w:pPr>
        <w:spacing w:line="360" w:lineRule="auto"/>
        <w:jc w:val="both"/>
      </w:pPr>
      <w:r>
        <w:rPr>
          <w:rFonts w:ascii="Times New Roman" w:hAnsi="Times New Roman"/>
          <w:sz w:val="24"/>
        </w:rPr>
        <w:t>- **Market Size Metrics Unclear:** TAM/SAM/SOM figures appear misstated or incomplete (e.g., TAM $150K is likely a typo or misrepresentation), undermining confidence in market opportunity sizing.</w:t>
      </w:r>
    </w:p>
    <w:p>
      <w:pPr>
        <w:spacing w:line="360" w:lineRule="auto"/>
        <w:jc w:val="both"/>
      </w:pPr>
      <w:r>
        <w:rPr>
          <w:rFonts w:ascii="Times New Roman" w:hAnsi="Times New Roman"/>
          <w:sz w:val="24"/>
        </w:rPr>
        <w:t>- **Limited Details on Commercialization:** Specifics on licensing terms, OEM commitments, manufacturing scale-up, and supply chain robustness are missing, creating uncertainty around revenue realization.</w:t>
      </w:r>
    </w:p>
    <w:p>
      <w:pPr>
        <w:spacing w:line="360" w:lineRule="auto"/>
        <w:jc w:val="both"/>
      </w:pPr>
      <w:r>
        <w:rPr>
          <w:rFonts w:ascii="Times New Roman" w:hAnsi="Times New Roman"/>
          <w:sz w:val="24"/>
        </w:rPr>
        <w:t>- **Competitive Landscape Underexplored:** While competitors are listed, the memo lacks detailed comparative analysis on StoreDot’s cost, performance, and scalability advantages versus solid-state and other silicon-anode players.</w:t>
      </w:r>
    </w:p>
    <w:p>
      <w:pPr>
        <w:spacing w:before="240" w:line="360" w:lineRule="auto" w:after="120"/>
        <w:jc w:val="both"/>
      </w:pPr>
      <w:r>
        <w:rPr>
          <w:rFonts w:ascii="Times New Roman" w:hAnsi="Times New Roman"/>
          <w:b/>
          <w:sz w:val="24"/>
        </w:rPr>
        <w:t>Opportunities</w:t>
      </w:r>
    </w:p>
    <w:p>
      <w:pPr>
        <w:spacing w:line="360" w:lineRule="auto"/>
        <w:jc w:val="both"/>
      </w:pPr>
      <w:r>
        <w:rPr>
          <w:rFonts w:ascii="Times New Roman" w:hAnsi="Times New Roman"/>
          <w:sz w:val="24"/>
        </w:rPr>
        <w:t>- **First-Mover Advantage in XFC:** Being first to market with commercially viable extreme fast charging batteries could secure premium licensing deals and strategic partnerships.</w:t>
      </w:r>
    </w:p>
    <w:p>
      <w:pPr>
        <w:spacing w:line="360" w:lineRule="auto"/>
        <w:jc w:val="both"/>
      </w:pPr>
      <w:r>
        <w:rPr>
          <w:rFonts w:ascii="Times New Roman" w:hAnsi="Times New Roman"/>
          <w:sz w:val="24"/>
        </w:rPr>
        <w:t>- **EV Market Growth:** Accelerating EV adoption globally, driven by policy and consumer demand, expands the addressable market.</w:t>
      </w:r>
    </w:p>
    <w:p>
      <w:pPr>
        <w:spacing w:line="360" w:lineRule="auto"/>
        <w:jc w:val="both"/>
      </w:pPr>
      <w:r>
        <w:rPr>
          <w:rFonts w:ascii="Times New Roman" w:hAnsi="Times New Roman"/>
          <w:sz w:val="24"/>
        </w:rPr>
        <w:t>- **Infrastructure Synergies:** Potential to partner with charging network providers to integrate batteries with fast-charging infrastructure, enhancing ecosystem lock-in.</w:t>
      </w:r>
    </w:p>
    <w:p>
      <w:pPr>
        <w:spacing w:line="360" w:lineRule="auto"/>
        <w:jc w:val="both"/>
      </w:pPr>
      <w:r>
        <w:rPr>
          <w:rFonts w:ascii="Times New Roman" w:hAnsi="Times New Roman"/>
          <w:sz w:val="24"/>
        </w:rPr>
        <w:t>- **Technology Extensions:** Roadmap toward semi-solid and post-lithium chemistries opens avenues for sustained innovation and differentiation.</w:t>
      </w:r>
    </w:p>
    <w:p>
      <w:pPr>
        <w:spacing w:before="240" w:line="360" w:lineRule="auto" w:after="120"/>
        <w:jc w:val="both"/>
      </w:pPr>
      <w:r>
        <w:rPr>
          <w:rFonts w:ascii="Times New Roman" w:hAnsi="Times New Roman"/>
          <w:b/>
          <w:sz w:val="24"/>
        </w:rPr>
        <w:t>Risks</w:t>
      </w:r>
    </w:p>
    <w:p>
      <w:pPr>
        <w:spacing w:line="360" w:lineRule="auto"/>
        <w:jc w:val="both"/>
      </w:pPr>
      <w:r>
        <w:rPr>
          <w:rFonts w:ascii="Times New Roman" w:hAnsi="Times New Roman"/>
          <w:sz w:val="24"/>
        </w:rPr>
        <w:t>- **Technical &amp; Regulatory Risks:** Battery safety, longevity under extreme fast charging, and compliance with evolving global standards remain unproven at scale.</w:t>
      </w:r>
    </w:p>
    <w:p>
      <w:pPr>
        <w:spacing w:line="360" w:lineRule="auto"/>
        <w:jc w:val="both"/>
      </w:pPr>
      <w:r>
        <w:rPr>
          <w:rFonts w:ascii="Times New Roman" w:hAnsi="Times New Roman"/>
          <w:sz w:val="24"/>
        </w:rPr>
        <w:t>- **Competitive Disruption:** Solid-state batteries and other emerging chemistries could leapfrog StoreDot’s silicon-anode tech, especially if commercialization delays occur.</w:t>
      </w:r>
    </w:p>
    <w:p>
      <w:pPr>
        <w:spacing w:line="360" w:lineRule="auto"/>
        <w:jc w:val="both"/>
      </w:pPr>
      <w:r>
        <w:rPr>
          <w:rFonts w:ascii="Times New Roman" w:hAnsi="Times New Roman"/>
          <w:sz w:val="24"/>
        </w:rPr>
        <w:t>- **Supply Chain &amp; Raw Materials:** Silicon-dominant anodes may face raw material sourcing challenges; cobalt reduction plans are positive but not yet realized.</w:t>
      </w:r>
    </w:p>
    <w:p>
      <w:pPr>
        <w:spacing w:line="360" w:lineRule="auto"/>
        <w:jc w:val="both"/>
      </w:pPr>
      <w:r>
        <w:rPr>
          <w:rFonts w:ascii="Times New Roman" w:hAnsi="Times New Roman"/>
          <w:sz w:val="24"/>
        </w:rPr>
        <w:t>- **Market Adoption &amp; OEM Dependence:** Licensing model success hinges on OEM uptake and manufacturing partner scale-up, which are not yet confirmed.</w:t>
      </w:r>
    </w:p>
    <w:p>
      <w:pPr>
        <w:spacing w:line="360" w:lineRule="auto"/>
        <w:jc w:val="both"/>
      </w:pPr>
      <w:r>
        <w:rPr>
          <w:rFonts w:ascii="Times New Roman" w:hAnsi="Times New Roman"/>
          <w:sz w:val="24"/>
        </w:rPr>
        <w:t>- **Valuation Assumptions:** The implied $7.2B valuation (8x revenue on $900M potential) is aggressive given the early stage and lack of financial disclosure.</w:t>
      </w:r>
    </w:p>
    <w:p>
      <w:pPr>
        <w:spacing w:before="240" w:line="360" w:lineRule="auto" w:after="120"/>
        <w:jc w:val="both"/>
      </w:pPr>
      <w:r>
        <w:rPr>
          <w:rFonts w:ascii="Times New Roman" w:hAnsi="Times New Roman"/>
          <w:b/>
          <w:sz w:val="24"/>
        </w:rPr>
        <w:t>Actionable Recommendations for Investors</w:t>
      </w:r>
    </w:p>
    <w:p>
      <w:pPr>
        <w:spacing w:line="360" w:lineRule="auto"/>
        <w:jc w:val="both"/>
      </w:pPr>
      <w:r>
        <w:rPr>
          <w:rFonts w:ascii="Times New Roman" w:hAnsi="Times New Roman"/>
          <w:sz w:val="24"/>
        </w:rPr>
        <w:t>1. **Demand Independent Technical Validation:** Prioritize obtaining third-party test results on charging speed, cycle life, safety, and scalability before committing capital.</w:t>
      </w:r>
    </w:p>
    <w:p>
      <w:pPr>
        <w:spacing w:line="360" w:lineRule="auto"/>
        <w:jc w:val="both"/>
      </w:pPr>
      <w:r>
        <w:rPr>
          <w:rFonts w:ascii="Times New Roman" w:hAnsi="Times New Roman"/>
          <w:sz w:val="24"/>
        </w:rPr>
        <w:t>2. **Clarify OEM &amp; Manufacturing Commitments:** Secure detailed information on partner pipeline, signed LOIs/contracts, and volume ramp timelines to validate commercial traction.</w:t>
      </w:r>
    </w:p>
    <w:p>
      <w:pPr>
        <w:spacing w:line="360" w:lineRule="auto"/>
        <w:jc w:val="both"/>
      </w:pPr>
      <w:r>
        <w:rPr>
          <w:rFonts w:ascii="Times New Roman" w:hAnsi="Times New Roman"/>
          <w:sz w:val="24"/>
        </w:rPr>
        <w:t>3. **Conduct Financial Due Diligence:** Request current financials, burn rate, funding runway, and capital requirements to assess investment risk and dilution potential.</w:t>
      </w:r>
    </w:p>
    <w:p>
      <w:pPr>
        <w:spacing w:line="360" w:lineRule="auto"/>
        <w:jc w:val="both"/>
      </w:pPr>
      <w:r>
        <w:rPr>
          <w:rFonts w:ascii="Times New Roman" w:hAnsi="Times New Roman"/>
          <w:sz w:val="24"/>
        </w:rPr>
        <w:t>4. **Evaluate IP Landscape Thoroughly:** Assess patent scope, geographic coverage, and potential infringement risks to confirm defensibility.</w:t>
      </w:r>
    </w:p>
    <w:p>
      <w:pPr>
        <w:spacing w:line="360" w:lineRule="auto"/>
        <w:jc w:val="both"/>
      </w:pPr>
      <w:r>
        <w:rPr>
          <w:rFonts w:ascii="Times New Roman" w:hAnsi="Times New Roman"/>
          <w:sz w:val="24"/>
        </w:rPr>
        <w:t>5. **Monitor Competitive &amp; Regulatory Developments:** Stay updated on advances in solid-state and other battery technologies, as well as evolving safety and environmental regulations.</w:t>
      </w:r>
    </w:p>
    <w:p>
      <w:pPr>
        <w:spacing w:line="360" w:lineRule="auto"/>
        <w:jc w:val="both"/>
      </w:pPr>
      <w:r>
        <w:rPr>
          <w:rFonts w:ascii="Times New Roman" w:hAnsi="Times New Roman"/>
          <w:sz w:val="24"/>
        </w:rPr>
        <w:t>6. **Engage Technical Experts:** Commission external battery technology consultants for deep technical due diligence and risk assessment.</w:t>
      </w:r>
    </w:p>
    <w:p>
      <w:pPr>
        <w:spacing w:line="360" w:lineRule="auto"/>
        <w:jc w:val="both"/>
      </w:pPr>
      <w:r>
        <w:rPr>
          <w:rFonts w:ascii="Times New Roman" w:hAnsi="Times New Roman"/>
          <w:sz w:val="24"/>
        </w:rPr>
        <w:t>7. **Negotiate Milestone-Based Investment:** Structure investment tranches tied to technical validation, OEM adoption milestones, and manufacturing scale-up to mitigate execution risk.</w:t>
      </w:r>
    </w:p>
    <w:p>
      <w:pPr>
        <w:spacing w:before="240" w:line="360" w:lineRule="auto" w:after="120"/>
        <w:jc w:val="both"/>
      </w:pPr>
      <w:r>
        <w:rPr>
          <w:rFonts w:ascii="Times New Roman" w:hAnsi="Times New Roman"/>
          <w:b/>
          <w:sz w:val="24"/>
        </w:rPr>
        <w:t>Summary</w:t>
      </w:r>
    </w:p>
    <w:p>
      <w:pPr>
        <w:spacing w:line="360" w:lineRule="auto"/>
        <w:jc w:val="both"/>
      </w:pPr>
      <w:r>
        <w:rPr>
          <w:rFonts w:ascii="Times New Roman" w:hAnsi="Times New Roman"/>
          <w:sz w:val="24"/>
        </w:rPr>
        <w:t>StoreDot presents a compelling deep-tech opportunity targeting a critical bottleneck in EV adoption with a potentially disruptive battery technology and a scalable licensing model. However, significant uncertainties remain around technical validation, financial health, market sizing, and commercialization execution. Investors should adopt a cautious, data-driven approach, emphasizing independent due diligence and milestone-based funding to capitalize on StoreDot’s promising technology while mitigating inherent early-stage risks.</w:t>
      </w:r>
    </w:p>
    <w:p>
      <w:pPr>
        <w:spacing w:line="360" w:lineRule="auto"/>
        <w:jc w:val="both"/>
      </w:pPr>
      <w:r>
        <w:rPr>
          <w:rFonts w:ascii="Times New Roman" w:hAnsi="Times New Roman"/>
          <w:sz w:val="24"/>
        </w:rPr>
        <w:t>Generated by VC Analysis System on July 14,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CEAF" w14:textId="77777777" w:rsidR="009B3FE6" w:rsidRDefault="009B3FE6">
      <w:r>
        <w:separator/>
      </w:r>
    </w:p>
  </w:endnote>
  <w:endnote w:type="continuationSeparator" w:id="0">
    <w:p w14:paraId="6D05A3F4" w14:textId="77777777" w:rsidR="009B3FE6" w:rsidRDefault="009B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35E5" w14:textId="77777777" w:rsidR="009B3FE6" w:rsidRDefault="009B3FE6">
      <w:r>
        <w:separator/>
      </w:r>
    </w:p>
  </w:footnote>
  <w:footnote w:type="continuationSeparator" w:id="0">
    <w:p w14:paraId="02DC1802" w14:textId="77777777" w:rsidR="009B3FE6" w:rsidRDefault="009B3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8</Words>
  <Characters>48</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55</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25</cp:revision>
  <cp:lastPrinted>2012-08-22T12:07:00Z</cp:lastPrinted>
  <dcterms:created xsi:type="dcterms:W3CDTF">2025-07-11T11:27:00Z</dcterms:created>
  <dcterms:modified xsi:type="dcterms:W3CDTF">2025-07-14T05:43:00Z</dcterms:modified>
</cp:coreProperties>
</file>