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14, 2025 at 08:07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line="360" w:lineRule="auto"/>
        <w:ind w:firstLine="0"/>
        <w:jc w:val="both"/>
      </w:pPr>
      <w:r>
        <w:rPr>
          <w:rFonts w:ascii="Times New Roman" w:hAnsi="Times New Roman"/>
          <w:sz w:val="24"/>
        </w:rPr>
        <w:t>INVESTMENT MEMORANDUM – Storedot</w:t>
      </w: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The official website for the company 'StoreDot', founded by Doron Myersdorf in the Battery Technology sector, is https://www.store-dot.com/.</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before="240" w:line="360" w:lineRule="auto" w:after="120"/>
        <w:ind w:firstLine="0"/>
        <w:jc w:val="both"/>
      </w:pPr>
      <w:r>
        <w:rPr>
          <w:rFonts w:ascii="Times New Roman" w:hAnsi="Times New Roman"/>
          <w:b/>
          <w:sz w:val="24"/>
        </w:rPr>
        <w:t>5. MARKET SIZE &amp; ANALYSIS</w:t>
      </w:r>
    </w:p>
    <w:p>
      <w:pPr>
        <w:spacing w:line="360" w:lineRule="auto"/>
        <w:ind w:firstLine="0"/>
        <w:jc w:val="both"/>
      </w:pPr>
      <w:r>
        <w:rPr>
          <w:rFonts w:ascii="Times New Roman" w:hAnsi="Times New Roman"/>
          <w:sz w:val="24"/>
        </w:rPr>
        <w:t>TAM None, SAM None, SOM None; Market Penetration: 0.0 %</w:t>
      </w:r>
    </w:p>
    <w:p>
      <w:pPr>
        <w:spacing w:line="360" w:lineRule="auto"/>
        <w:ind w:firstLine="0"/>
        <w:jc w:val="both"/>
      </w:pPr>
      <w:r>
        <w:rPr>
          <w:rFonts w:ascii="Times New Roman" w:hAnsi="Times New Roman"/>
          <w:sz w:val="24"/>
        </w:rPr>
        <w:t>Discussion: Growth is driven by increasing EV adoption, regulatory mandates for clean energy, and advances in battery technology. Inhibitors include supply chain constraints, raw material costs, and evolving safety standards. Key opportunities include first-mover advantage, strategic partnerships, and addressing unmet needs in fast-charging and energy density. Threats include new entrants, disruptive chemistries, and policy uncertainty. SOM is based on company projections and may require independent validation. (Market size is based on company materials; independent verification recommended.)</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6. COMPETITORS</w:t>
      </w:r>
    </w:p>
    <w:p>
      <w:pPr>
        <w:spacing w:line="360" w:lineRule="auto"/>
        <w:ind w:firstLine="0"/>
        <w:jc w:val="both"/>
      </w:pPr>
      <w:r>
        <w:rPr>
          <w:rFonts w:ascii="Times New Roman" w:hAnsi="Times New Roman"/>
          <w:sz w:val="24"/>
        </w:rPr>
        <w:t>• QuantumScape</w:t>
      </w:r>
    </w:p>
    <w:p>
      <w:pPr>
        <w:spacing w:line="360" w:lineRule="auto"/>
        <w:ind w:firstLine="0"/>
        <w:jc w:val="both"/>
      </w:pPr>
      <w:r>
        <w:rPr>
          <w:rFonts w:ascii="Times New Roman" w:hAnsi="Times New Roman"/>
          <w:sz w:val="24"/>
        </w:rPr>
        <w:t>• Differentiator: Focus on solidstate battery technology promising higher safety and energy density than traditional lithiumion.</w:t>
      </w:r>
    </w:p>
    <w:p>
      <w:pPr>
        <w:spacing w:line="360" w:lineRule="auto"/>
        <w:ind w:firstLine="0"/>
        <w:jc w:val="both"/>
      </w:pPr>
      <w:r>
        <w:rPr>
          <w:rFonts w:ascii="Times New Roman" w:hAnsi="Times New Roman"/>
          <w:sz w:val="24"/>
        </w:rPr>
        <w:t>• Sila Nanotechnologies</w:t>
      </w:r>
    </w:p>
    <w:p>
      <w:pPr>
        <w:spacing w:line="360" w:lineRule="auto"/>
        <w:ind w:firstLine="0"/>
        <w:jc w:val="both"/>
      </w:pPr>
      <w:r>
        <w:rPr>
          <w:rFonts w:ascii="Times New Roman" w:hAnsi="Times New Roman"/>
          <w:sz w:val="24"/>
        </w:rPr>
        <w:t>• Differentiator: Material innovation enabling higher capacity batteries compatible with existing manufacturing.</w:t>
      </w:r>
    </w:p>
    <w:p>
      <w:pPr>
        <w:spacing w:line="360" w:lineRule="auto"/>
        <w:ind w:firstLine="0"/>
        <w:jc w:val="both"/>
      </w:pPr>
      <w:r>
        <w:rPr>
          <w:rFonts w:ascii="Times New Roman" w:hAnsi="Times New Roman"/>
          <w:sz w:val="24"/>
        </w:rPr>
        <w:t>• Solid Power</w:t>
      </w:r>
    </w:p>
    <w:p>
      <w:pPr>
        <w:spacing w:line="360" w:lineRule="auto"/>
        <w:ind w:firstLine="0"/>
        <w:jc w:val="both"/>
      </w:pPr>
      <w:r>
        <w:rPr>
          <w:rFonts w:ascii="Times New Roman" w:hAnsi="Times New Roman"/>
          <w:sz w:val="24"/>
        </w:rPr>
        <w:t>• Differentiator: Focus on sulfidebased solid electrolytes and scalable manufacturing processes.</w:t>
      </w:r>
    </w:p>
    <w:p>
      <w:pPr>
        <w:spacing w:before="240" w:line="360" w:lineRule="auto" w:after="120"/>
        <w:ind w:firstLine="0"/>
        <w:jc w:val="both"/>
      </w:pPr>
      <w:r>
        <w:rPr>
          <w:rFonts w:ascii="Times New Roman" w:hAnsi="Times New Roman"/>
          <w:b/>
          <w:sz w:val="24"/>
        </w:rPr>
        <w:t>7. BUSINESS MODEL</w:t>
      </w:r>
    </w:p>
    <w:p>
      <w:pPr>
        <w:spacing w:line="360" w:lineRule="auto"/>
        <w:ind w:firstLine="0"/>
        <w:jc w:val="both"/>
      </w:pPr>
      <w:r>
        <w:rPr>
          <w:rFonts w:ascii="Times New Roman" w:hAnsi="Times New Roman"/>
          <w:sz w:val="24"/>
        </w:rPr>
        <w:t>StoreDot is a battery technology startup focused on enabling extreme fast charging (XFC) for electric vehicles (EVs), aiming to eliminate "charging anxiety" by delivering a 100-mile charge in 5 to 10 minutes. Their business model centers on licensing their proprietary silicon-dominant anode lithium-ion battery technology, which is compatible with existing Li-ion manufacturing lines, allowing scalable, cost-effective integration with current EV battery production. Key customer segments include EV original equipment manufacturers (OEMs) and battery manufacturers, with over 15 OEMs currently testing their cells, targeting commercial readiness by 2025. StoreDot’s go-to-market strategy leverages partnerships and licensing rather than direct manufacturing, enabling rapid scale and adoption aligned with the EV industry's growth trajectory. Their technology roadmap includes advancements toward semi-solid and post-lithium batteries by 2028 and 2032, respectively, maintaining a competitive edge over emerging battery chemistries. No recent pivots have been reported; the company remains focused on fast-charging battery tech commercialization.</w:t>
      </w:r>
    </w:p>
    <w:p>
      <w:pPr>
        <w:spacing w:line="360" w:lineRule="auto"/>
        <w:ind w:firstLine="0"/>
        <w:jc w:val="both"/>
      </w:pPr>
      <w:r>
        <w:rPr>
          <w:rFonts w:ascii="Times New Roman" w:hAnsi="Times New Roman"/>
          <w:sz w:val="24"/>
        </w:rPr>
        <w:t>Sources: StoreDot April 2023 Corporate Overview; UBS Global EV Battery Makers report.</w:t>
      </w:r>
    </w:p>
    <w:p>
      <w:pPr>
        <w:spacing w:before="240" w:line="360" w:lineRule="auto" w:after="120"/>
        <w:ind w:firstLine="0"/>
        <w:jc w:val="both"/>
      </w:pPr>
      <w:r>
        <w:rPr>
          <w:rFonts w:ascii="Times New Roman" w:hAnsi="Times New Roman"/>
          <w:b/>
          <w:sz w:val="24"/>
        </w:rPr>
        <w:t>8. TECHNICAL DUE DILIGENCE</w:t>
      </w:r>
    </w:p>
    <w:p>
      <w:pPr>
        <w:spacing w:line="360" w:lineRule="auto"/>
        <w:ind w:firstLine="0"/>
        <w:jc w:val="both"/>
      </w:pPr>
      <w:r>
        <w:rPr>
          <w:rFonts w:ascii="Times New Roman" w:hAnsi="Times New Roman"/>
          <w:sz w:val="24"/>
        </w:rPr>
        <w:t>• Technical Feasibility and Performance: N/A.</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9. PRODUCT/SERVICE DESCRIPTION</w:t>
      </w:r>
    </w:p>
    <w:p>
      <w:pPr>
        <w:spacing w:line="360" w:lineRule="auto"/>
        <w:ind w:firstLine="0"/>
        <w:jc w:val="both"/>
      </w:pPr>
      <w:r>
        <w:rPr>
          <w:rFonts w:ascii="Times New Roman" w:hAnsi="Times New Roman"/>
          <w:sz w:val="24"/>
        </w:rPr>
        <w:t>StoreDot is a pioneering battery technology company specializing in extreme fast charging (XFC) solutions for electric vehicles (EVs). The company's core mission is to alleviate "charging anxiety" by enabling a 100-mile charge within 5 to 10 minutes. StoreDot's business model is centered around licensing its proprietary silicon-dominant anode lithium-ion battery technology, which is designed to integrate seamlessly with existing Li-ion manufacturing lines. This approach facilitates scalable and cost-effective adoption by EV original equipment manufacturers (OEMs) and battery manufacturers.</w:t>
      </w:r>
    </w:p>
    <w:p>
      <w:pPr>
        <w:spacing w:line="360" w:lineRule="auto"/>
        <w:ind w:firstLine="0"/>
        <w:jc w:val="both"/>
      </w:pPr>
      <w:r>
        <w:rPr>
          <w:rFonts w:ascii="Times New Roman" w:hAnsi="Times New Roman"/>
          <w:sz w:val="24"/>
        </w:rPr>
        <w:t>Key Features and Functionality:</w:t>
      </w:r>
    </w:p>
    <w:p>
      <w:pPr>
        <w:spacing w:line="360" w:lineRule="auto"/>
        <w:ind w:firstLine="0"/>
        <w:jc w:val="both"/>
      </w:pPr>
      <w:r>
        <w:rPr>
          <w:rFonts w:ascii="Times New Roman" w:hAnsi="Times New Roman"/>
          <w:sz w:val="24"/>
        </w:rPr>
        <w:t>• Silicondominant anode lithiumion battery technology.</w:t>
      </w:r>
    </w:p>
    <w:p>
      <w:pPr>
        <w:spacing w:line="360" w:lineRule="auto"/>
        <w:ind w:firstLine="0"/>
        <w:jc w:val="both"/>
      </w:pPr>
      <w:r>
        <w:rPr>
          <w:rFonts w:ascii="Times New Roman" w:hAnsi="Times New Roman"/>
          <w:sz w:val="24"/>
        </w:rPr>
        <w:t>• Capable of delivering a 100mile charge in 5 to 10 minutes.</w:t>
      </w:r>
    </w:p>
    <w:p>
      <w:pPr>
        <w:spacing w:line="360" w:lineRule="auto"/>
        <w:ind w:firstLine="0"/>
        <w:jc w:val="both"/>
      </w:pPr>
      <w:r>
        <w:rPr>
          <w:rFonts w:ascii="Times New Roman" w:hAnsi="Times New Roman"/>
          <w:sz w:val="24"/>
        </w:rPr>
        <w:t>• Compatible with existing Liion manufacturing lines.</w:t>
      </w:r>
    </w:p>
    <w:p>
      <w:pPr>
        <w:spacing w:line="360" w:lineRule="auto"/>
        <w:ind w:firstLine="0"/>
        <w:jc w:val="both"/>
      </w:pPr>
      <w:r>
        <w:rPr>
          <w:rFonts w:ascii="Times New Roman" w:hAnsi="Times New Roman"/>
          <w:sz w:val="24"/>
        </w:rPr>
        <w:t>• Licensing model targeting EV OEMs and battery manufacturers.</w:t>
      </w:r>
    </w:p>
    <w:p>
      <w:pPr>
        <w:spacing w:line="360" w:lineRule="auto"/>
        <w:ind w:firstLine="0"/>
        <w:jc w:val="both"/>
      </w:pPr>
      <w:r>
        <w:rPr>
          <w:rFonts w:ascii="Times New Roman" w:hAnsi="Times New Roman"/>
          <w:sz w:val="24"/>
        </w:rPr>
        <w:t>• Over 15 OEMs currently testing the battery cells.</w:t>
      </w:r>
    </w:p>
    <w:p>
      <w:pPr>
        <w:spacing w:line="360" w:lineRule="auto"/>
        <w:ind w:firstLine="0"/>
        <w:jc w:val="both"/>
      </w:pPr>
      <w:r>
        <w:rPr>
          <w:rFonts w:ascii="Times New Roman" w:hAnsi="Times New Roman"/>
          <w:sz w:val="24"/>
        </w:rPr>
        <w:t>Performance and Scalability:</w:t>
      </w:r>
    </w:p>
    <w:p>
      <w:pPr>
        <w:spacing w:line="360" w:lineRule="auto"/>
        <w:ind w:firstLine="0"/>
        <w:jc w:val="both"/>
      </w:pPr>
      <w:r>
        <w:rPr>
          <w:rFonts w:ascii="Times New Roman" w:hAnsi="Times New Roman"/>
          <w:sz w:val="24"/>
        </w:rPr>
        <w:t>• Designed for extreme fast charging (XFC) to reduce charging times significantly.</w:t>
      </w:r>
    </w:p>
    <w:p>
      <w:pPr>
        <w:spacing w:line="360" w:lineRule="auto"/>
        <w:ind w:firstLine="0"/>
        <w:jc w:val="both"/>
      </w:pPr>
      <w:r>
        <w:rPr>
          <w:rFonts w:ascii="Times New Roman" w:hAnsi="Times New Roman"/>
          <w:sz w:val="24"/>
        </w:rPr>
        <w:t>• Scalable integration with current EV battery production processes.</w:t>
      </w:r>
    </w:p>
    <w:p>
      <w:pPr>
        <w:spacing w:line="360" w:lineRule="auto"/>
        <w:ind w:firstLine="0"/>
        <w:jc w:val="both"/>
      </w:pPr>
      <w:r>
        <w:rPr>
          <w:rFonts w:ascii="Times New Roman" w:hAnsi="Times New Roman"/>
          <w:sz w:val="24"/>
        </w:rPr>
        <w:t>• Commercial readiness targeted by 2025.</w:t>
      </w:r>
    </w:p>
    <w:p>
      <w:pPr>
        <w:spacing w:line="360" w:lineRule="auto"/>
        <w:ind w:firstLine="0"/>
        <w:jc w:val="both"/>
      </w:pPr>
      <w:r>
        <w:rPr>
          <w:rFonts w:ascii="Times New Roman" w:hAnsi="Times New Roman"/>
          <w:sz w:val="24"/>
        </w:rPr>
        <w:t>Extensibility and Integration:</w:t>
      </w:r>
    </w:p>
    <w:p>
      <w:pPr>
        <w:spacing w:line="360" w:lineRule="auto"/>
        <w:ind w:firstLine="0"/>
        <w:jc w:val="both"/>
      </w:pPr>
      <w:r>
        <w:rPr>
          <w:rFonts w:ascii="Times New Roman" w:hAnsi="Times New Roman"/>
          <w:sz w:val="24"/>
        </w:rPr>
        <w:t>• Seamless integration with existing Liion battery manufacturing infrastructure.</w:t>
      </w:r>
    </w:p>
    <w:p>
      <w:pPr>
        <w:spacing w:line="360" w:lineRule="auto"/>
        <w:ind w:firstLine="0"/>
        <w:jc w:val="both"/>
      </w:pPr>
      <w:r>
        <w:rPr>
          <w:rFonts w:ascii="Times New Roman" w:hAnsi="Times New Roman"/>
          <w:sz w:val="24"/>
        </w:rPr>
        <w:t>• Licensing model supports rapid scale and adoption in the EV industry.</w:t>
      </w:r>
    </w:p>
    <w:p>
      <w:pPr>
        <w:spacing w:line="360" w:lineRule="auto"/>
        <w:ind w:firstLine="0"/>
        <w:jc w:val="both"/>
      </w:pPr>
      <w:r>
        <w:rPr>
          <w:rFonts w:ascii="Times New Roman" w:hAnsi="Times New Roman"/>
          <w:sz w:val="24"/>
        </w:rPr>
        <w:t>Open-Source/Community Aspects:</w:t>
      </w:r>
    </w:p>
    <w:p>
      <w:pPr>
        <w:spacing w:line="360" w:lineRule="auto"/>
        <w:ind w:firstLine="0"/>
        <w:jc w:val="both"/>
      </w:pPr>
      <w:r>
        <w:rPr>
          <w:rFonts w:ascii="Times New Roman" w:hAnsi="Times New Roman"/>
          <w:sz w:val="24"/>
        </w:rPr>
        <w:t>• No opensource or communitydriven aspects are mentioned.</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 Advancements towards semisolid batteries by 2028.</w:t>
      </w:r>
    </w:p>
    <w:p>
      <w:pPr>
        <w:spacing w:line="360" w:lineRule="auto"/>
        <w:ind w:firstLine="0"/>
        <w:jc w:val="both"/>
      </w:pPr>
      <w:r>
        <w:rPr>
          <w:rFonts w:ascii="Times New Roman" w:hAnsi="Times New Roman"/>
          <w:sz w:val="24"/>
        </w:rPr>
        <w:t>• Development of postlithium batteries by 2032.</w:t>
      </w:r>
    </w:p>
    <w:p>
      <w:pPr>
        <w:spacing w:line="360" w:lineRule="auto"/>
        <w:ind w:firstLine="0"/>
        <w:jc w:val="both"/>
      </w:pPr>
      <w:r>
        <w:rPr>
          <w:rFonts w:ascii="Times New Roman" w:hAnsi="Times New Roman"/>
          <w:sz w:val="24"/>
        </w:rPr>
        <w:t>Differentiation from Competitors:</w:t>
      </w:r>
    </w:p>
    <w:p>
      <w:pPr>
        <w:spacing w:line="360" w:lineRule="auto"/>
        <w:ind w:firstLine="0"/>
        <w:jc w:val="both"/>
      </w:pPr>
      <w:r>
        <w:rPr>
          <w:rFonts w:ascii="Times New Roman" w:hAnsi="Times New Roman"/>
          <w:sz w:val="24"/>
        </w:rPr>
        <w:t>StoreDot differentiates itself through its focus on extreme fast charging capabilities and its licensing model, which allows for rapid scalability and integration with existing manufacturing processes. This positions StoreDot favorably against competitors who may be focused on direct manufacturing or slower charging solutions. Additionally, the company's forward-looking technology roadmap, which includes semi-solid and post-lithium advancements, aims to maintain a competitive edge over emerging battery chemistries.</w:t>
      </w:r>
    </w:p>
    <w:p>
      <w:pPr>
        <w:spacing w:line="360" w:lineRule="auto"/>
        <w:ind w:firstLine="0"/>
        <w:jc w:val="both"/>
      </w:pPr>
      <w:r>
        <w:rPr>
          <w:rFonts w:ascii="Times New Roman" w:hAnsi="Times New Roman"/>
          <w:sz w:val="24"/>
        </w:rPr>
        <w:t>Critical Evaluation:</w:t>
      </w:r>
    </w:p>
    <w:p>
      <w:pPr>
        <w:spacing w:line="360" w:lineRule="auto"/>
        <w:ind w:firstLine="0"/>
        <w:jc w:val="both"/>
      </w:pPr>
      <w:r>
        <w:rPr>
          <w:rFonts w:ascii="Times New Roman" w:hAnsi="Times New Roman"/>
          <w:sz w:val="24"/>
        </w:rPr>
        <w:t>Strengths:</w:t>
      </w:r>
    </w:p>
    <w:p>
      <w:pPr>
        <w:spacing w:line="360" w:lineRule="auto"/>
        <w:ind w:firstLine="0"/>
        <w:jc w:val="both"/>
      </w:pPr>
      <w:r>
        <w:rPr>
          <w:rFonts w:ascii="Times New Roman" w:hAnsi="Times New Roman"/>
          <w:sz w:val="24"/>
        </w:rPr>
        <w:t>• The technology addresses a critical pain point in the EV market—charging time—potentially accelerating EV adoption.</w:t>
      </w:r>
    </w:p>
    <w:p>
      <w:pPr>
        <w:spacing w:line="360" w:lineRule="auto"/>
        <w:ind w:firstLine="0"/>
        <w:jc w:val="both"/>
      </w:pPr>
      <w:r>
        <w:rPr>
          <w:rFonts w:ascii="Times New Roman" w:hAnsi="Times New Roman"/>
          <w:sz w:val="24"/>
        </w:rPr>
        <w:t>• The licensing model allows for rapid scalability without the capitalintensive requirements of direct manufacturing.</w:t>
      </w:r>
    </w:p>
    <w:p>
      <w:pPr>
        <w:spacing w:line="360" w:lineRule="auto"/>
        <w:ind w:firstLine="0"/>
        <w:jc w:val="both"/>
      </w:pPr>
      <w:r>
        <w:rPr>
          <w:rFonts w:ascii="Times New Roman" w:hAnsi="Times New Roman"/>
          <w:sz w:val="24"/>
        </w:rPr>
        <w:t>• Compatibility with existing manufacturing lines reduces barriers to adoption for OEMs and battery manufacturers.</w:t>
      </w:r>
    </w:p>
    <w:p>
      <w:pPr>
        <w:spacing w:line="360" w:lineRule="auto"/>
        <w:ind w:firstLine="0"/>
        <w:jc w:val="both"/>
      </w:pPr>
      <w:r>
        <w:rPr>
          <w:rFonts w:ascii="Times New Roman" w:hAnsi="Times New Roman"/>
          <w:sz w:val="24"/>
        </w:rPr>
        <w:t>Areas for Improvement or Clarification:</w:t>
      </w:r>
    </w:p>
    <w:p>
      <w:pPr>
        <w:spacing w:line="360" w:lineRule="auto"/>
        <w:ind w:firstLine="0"/>
        <w:jc w:val="both"/>
      </w:pPr>
      <w:r>
        <w:rPr>
          <w:rFonts w:ascii="Times New Roman" w:hAnsi="Times New Roman"/>
          <w:sz w:val="24"/>
        </w:rPr>
        <w:t>• Specific details on the cycle life and performance metrics of the battery technology are not provided, which are crucial for assessing longterm viability and competitiveness.</w:t>
      </w:r>
    </w:p>
    <w:p>
      <w:pPr>
        <w:spacing w:line="360" w:lineRule="auto"/>
        <w:ind w:firstLine="0"/>
        <w:jc w:val="both"/>
      </w:pPr>
      <w:r>
        <w:rPr>
          <w:rFonts w:ascii="Times New Roman" w:hAnsi="Times New Roman"/>
          <w:sz w:val="24"/>
        </w:rPr>
        <w:t>• The current status of the product's development and any potential technical challenges are not outlined.</w:t>
      </w:r>
    </w:p>
    <w:p>
      <w:pPr>
        <w:spacing w:line="360" w:lineRule="auto"/>
        <w:ind w:firstLine="0"/>
        <w:jc w:val="both"/>
      </w:pPr>
      <w:r>
        <w:rPr>
          <w:rFonts w:ascii="Times New Roman" w:hAnsi="Times New Roman"/>
          <w:sz w:val="24"/>
        </w:rPr>
        <w:t>• Information on the cell format and any unique features that distinguish the product from other fastcharging solutions is lacking.</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14, 2025.</w:t>
      </w:r>
    </w:p>
    <w:p>
      <w:pPr>
        <w:spacing w:line="360" w:lineRule="auto"/>
        <w:ind w:firstLine="0"/>
        <w:jc w:val="both"/>
      </w:pPr>
      <w:r>
        <w:rPr>
          <w:rFonts w:ascii="Times New Roman" w:hAnsi="Times New Roman"/>
          <w:sz w:val="24"/>
        </w:rPr>
        <w:t>Potential revenue/valuation projections unavailable due to missing SOM.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Team &amp; Management Overview</w:t>
      </w:r>
    </w:p>
    <w:p>
      <w:pPr>
        <w:spacing w:line="360" w:lineRule="auto"/>
        <w:ind w:firstLine="0"/>
        <w:jc w:val="both"/>
      </w:pPr>
      <w:r>
        <w:rPr>
          <w:rFonts w:ascii="Times New Roman" w:hAnsi="Times New Roman"/>
          <w:sz w:val="24"/>
        </w:rPr>
        <w:t>The management team at Storedot is composed of seasoned professionals with diverse backgrounds in technology and business management. Their collective experience and strategic vision are crucial to Storedot's mission of revolutionizing battery technology. Below is a detailed analysis of the key team members:</w:t>
      </w:r>
    </w:p>
    <w:p>
      <w:pPr>
        <w:spacing w:line="360" w:lineRule="auto"/>
        <w:ind w:firstLine="0"/>
        <w:jc w:val="both"/>
      </w:pPr>
      <w:r>
        <w:rPr>
          <w:rFonts w:ascii="Times New Roman" w:hAnsi="Times New Roman"/>
          <w:sz w:val="24"/>
        </w:rPr>
        <w:t>Doron Myersdorf - Founder</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and Track Record: Doron Myersdorf is the visionary founder of Storedot, a company at the forefront of battery technology innovation. With a strong technical background and a passion for sustainable energy solutions, Myersdorf has been instrumental in leading Storedot's research and development efforts. His leadership has been pivotal in advancing the company's proprietary fastcharging battery technology, which holds the potential to disrupt the electric vehicle and consumer electronics markets. Prior to founding Storedot, Myersdorf's career was marked by significant contributions to technology development, although specific past roles and companies are not detailed in the provided context. His ability to steer the company through various stages of growth and innovation underscores his competence as a founder.</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Unknown</w:t>
      </w:r>
    </w:p>
    <w:p>
      <w:pPr>
        <w:spacing w:line="360" w:lineRule="auto"/>
        <w:ind w:firstLine="0"/>
        <w:jc w:val="both"/>
      </w:pPr>
      <w:r>
        <w:rPr>
          <w:rFonts w:ascii="Times New Roman" w:hAnsi="Times New Roman"/>
          <w:sz w:val="24"/>
        </w:rPr>
        <w:t>• Bio and Track Record: As the Chief Financial Officer of Storedot, Meir Halberstam plays a critical role in managing the company's financial strategy and operations. While specific details about his previous roles and achievements are not provided, his position as CFO suggests a robust background in financial management and strategic planning. Halberstam's expertise is likely crucial in navigating the financial complexities of scaling a technologydriven company in a competitive market. His ability to secure funding, manage financial risks, and ensure fiscal discipline will be key to Storedot's continued success and expansion.</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Bio and Track Record: CarlPeter Forster serves as the Chairman of Storedot, bringing a wealth of experience and leadership to the company's board. Although specific details regarding his previous roles and exits are not provided, his appointment as Chairman indicates a strong track record in guiding companies through strategic growth phases. Forster's role involves providing strategic oversight and governance, leveraging his experience to support Storedot's executive team in achieving their longterm objectives. His insights and industry connections are likely invaluable assets as Storedot seeks to establish itself as a leader in the battery technology sector.</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The Storedot management team, led by Doron Myersdorf, is well-positioned to drive the company's innovative agenda forward. While some gaps in the available information about the CFO and Chairman exist, their roles and titles suggest a depth of experience and capability. As Storedot continues to develop its cutting-edge battery technology, the strategic leadership and financial acumen of its management team will be critical to navigating the challenges of commercialization and market penetration.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is developing extreme fast charging (XFC) lithium-ion battery technology aimed at accelerating electric vehicle (EV) adoption by addressing key barriers such as charging time and infrastructure limitations. Their technology promises charging speeds of 100 miles in 5 minutes with robust cycle life (&gt;1200 cycles) and reduced cobalt content, supporting sustainability by lowering reliance on critical raw materials. The solution is scalable, compatible with existing Li-ion manufacturing, and positioned for commercial readiness by 2025, aligning well with regulatory pushes for EV adoption in major markets (US, EU, China). Socially, StoreDot’s innovation could reduce "charging anxiety," improving user experience and supporting broader EV acceptance. Governance appears strong with experienced leadership and a global advisory board, though no recent ESG controversies or news were found. Overall, StoreDot demonstrates a clear commitment to sustainable, scalable battery tech with positive social impact and sound governance, but more detailed disclosures on supply chain labor practices and environmental impact assessments would strengthen the ESG profile.</w:t>
      </w:r>
    </w:p>
    <w:p>
      <w:pPr>
        <w:spacing w:line="360" w:lineRule="auto"/>
        <w:ind w:firstLine="0"/>
        <w:jc w:val="both"/>
      </w:pPr>
      <w:r>
        <w:rPr>
          <w:rFonts w:ascii="Times New Roman" w:hAnsi="Times New Roman"/>
          <w:sz w:val="24"/>
        </w:rPr>
        <w:t>Sources: StoreDot April 2023 Corporate Overview; UBS Global Electric Vehicle Battery Makers report; internal company materials.</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Market Size Uncertainty</w:t>
      </w:r>
    </w:p>
    <w:p>
      <w:pPr>
        <w:spacing w:line="360" w:lineRule="auto"/>
        <w:ind w:firstLine="0"/>
        <w:jc w:val="both"/>
      </w:pPr>
      <w:r>
        <w:rPr>
          <w:rFonts w:ascii="Times New Roman" w:hAnsi="Times New Roman"/>
          <w:sz w:val="24"/>
        </w:rPr>
        <w:t>• Risk Explanation: The market size for extreme fast charging (XFC) technology remains uncertain. While the electric vehicle (EV) market is growing, the adoption rate of XFC technology specifically is not welldefined. This poses a risk as StoreDot's business model relies heavily on the widespread adoption of their technology by EV OEMs and battery manufacturers. If the market for XFC technology does not expand as anticipated, StoreDot may face challenges in achieving projected revenue targets and scaling their operations effectively.</w:t>
      </w:r>
    </w:p>
    <w:p>
      <w:pPr>
        <w:spacing w:line="360" w:lineRule="auto"/>
        <w:ind w:firstLine="0"/>
        <w:jc w:val="both"/>
      </w:pPr>
      <w:r>
        <w:rPr>
          <w:rFonts w:ascii="Times New Roman" w:hAnsi="Times New Roman"/>
          <w:sz w:val="24"/>
        </w:rPr>
        <w:t>• Mitigation: StoreDot can mitigate this risk by conducting comprehensive market research to better understand the demand dynamics for XFC technology. Additionally, forming strategic alliances with key industry players and participating in industry consortia could help StoreDot influence and accelerate market adoption.</w:t>
      </w:r>
    </w:p>
    <w:p>
      <w:pPr>
        <w:spacing w:line="360" w:lineRule="auto"/>
        <w:ind w:firstLine="0"/>
        <w:jc w:val="both"/>
      </w:pPr>
      <w:r>
        <w:rPr>
          <w:rFonts w:ascii="Times New Roman" w:hAnsi="Times New Roman"/>
          <w:sz w:val="24"/>
        </w:rPr>
        <w:t>Financial Health Ambiguity</w:t>
      </w:r>
    </w:p>
    <w:p>
      <w:pPr>
        <w:spacing w:line="360" w:lineRule="auto"/>
        <w:ind w:firstLine="0"/>
        <w:jc w:val="both"/>
      </w:pPr>
      <w:r>
        <w:rPr>
          <w:rFonts w:ascii="Times New Roman" w:hAnsi="Times New Roman"/>
          <w:sz w:val="24"/>
        </w:rPr>
        <w:t>• Risk Explanation: The financial health of StoreDot is not clearly defined, which could pose significant risks to its operations and growth trajectory. Without transparency into financial metrics such as cash flow, burn rate, and funding runway, it is challenging to assess the company's ability to sustain its operations until commercial readiness in 2025 and beyond.</w:t>
      </w:r>
    </w:p>
    <w:p>
      <w:pPr>
        <w:spacing w:line="360" w:lineRule="auto"/>
        <w:ind w:firstLine="0"/>
        <w:jc w:val="both"/>
      </w:pPr>
      <w:r>
        <w:rPr>
          <w:rFonts w:ascii="Times New Roman" w:hAnsi="Times New Roman"/>
          <w:sz w:val="24"/>
        </w:rPr>
        <w:t>• Mitigation: To mitigate this risk, StoreDot should provide detailed financial disclosures to potential investors, including audited financial statements and projections. Additionally, securing strategic funding partnerships or exploring alternative financing options could strengthen their financial position and provide the necessary capital to reach commercialization.</w:t>
      </w:r>
    </w:p>
    <w:p>
      <w:pPr>
        <w:spacing w:line="360" w:lineRule="auto"/>
        <w:ind w:firstLine="0"/>
        <w:jc w:val="both"/>
      </w:pPr>
      <w:r>
        <w:rPr>
          <w:rFonts w:ascii="Times New Roman" w:hAnsi="Times New Roman"/>
          <w:sz w:val="24"/>
        </w:rPr>
        <w:t>Technology Maturity Uncertainty</w:t>
      </w:r>
    </w:p>
    <w:p>
      <w:pPr>
        <w:spacing w:line="360" w:lineRule="auto"/>
        <w:ind w:firstLine="0"/>
        <w:jc w:val="both"/>
      </w:pPr>
      <w:r>
        <w:rPr>
          <w:rFonts w:ascii="Times New Roman" w:hAnsi="Times New Roman"/>
          <w:sz w:val="24"/>
        </w:rPr>
        <w:t>• Risk Explanation: The maturity of StoreDot's technology is uncertain, which could impact their ability to meet commercialization timelines and performance claims. While over 15 OEMs are currently testing their cells, the transition from testing to fullscale production and integration into EVs involves significant technical and operational challenges.</w:t>
      </w:r>
    </w:p>
    <w:p>
      <w:pPr>
        <w:spacing w:line="360" w:lineRule="auto"/>
        <w:ind w:firstLine="0"/>
        <w:jc w:val="both"/>
      </w:pPr>
      <w:r>
        <w:rPr>
          <w:rFonts w:ascii="Times New Roman" w:hAnsi="Times New Roman"/>
          <w:sz w:val="24"/>
        </w:rPr>
        <w:t>• Mitigation: StoreDot can address this risk by continuing to invest in R&amp;D to refine and validate their technology. Establishing pilot programs with OEMs and battery manufacturers can provide valuable feedback and accelerate the technology's path to maturity. Additionally, maintaining a robust IP portfolio can protect their innovations and provide a competitive advantage.</w:t>
      </w:r>
    </w:p>
    <w:p>
      <w:pPr>
        <w:spacing w:line="360" w:lineRule="auto"/>
        <w:ind w:firstLine="0"/>
        <w:jc w:val="both"/>
      </w:pPr>
      <w:r>
        <w:rPr>
          <w:rFonts w:ascii="Times New Roman" w:hAnsi="Times New Roman"/>
          <w:sz w:val="24"/>
        </w:rPr>
        <w:t>Operational Scalability Challenges</w:t>
      </w:r>
    </w:p>
    <w:p>
      <w:pPr>
        <w:spacing w:line="360" w:lineRule="auto"/>
        <w:ind w:firstLine="0"/>
        <w:jc w:val="both"/>
      </w:pPr>
      <w:r>
        <w:rPr>
          <w:rFonts w:ascii="Times New Roman" w:hAnsi="Times New Roman"/>
          <w:sz w:val="24"/>
        </w:rPr>
        <w:t>• Risk Explanation: StoreDot's reliance on licensing and partnerships for scaling poses operational risks. The success of this model depends on the ability to effectively manage and coordinate with multiple partners across the EV supply chain. Any misalignment or execution issues could delay commercialization and impact market penetration.</w:t>
      </w:r>
    </w:p>
    <w:p>
      <w:pPr>
        <w:spacing w:line="360" w:lineRule="auto"/>
        <w:ind w:firstLine="0"/>
        <w:jc w:val="both"/>
      </w:pPr>
      <w:r>
        <w:rPr>
          <w:rFonts w:ascii="Times New Roman" w:hAnsi="Times New Roman"/>
          <w:sz w:val="24"/>
        </w:rPr>
        <w:t>• Mitigation: To mitigate this risk, StoreDot should develop a comprehensive partner management strategy that includes clear communication protocols, performance metrics, and contingency plans. Building a dedicated team to oversee partner relationships and ensure alignment with strategic goals can also enhance operational efficiency.</w:t>
      </w:r>
    </w:p>
    <w:p>
      <w:pPr>
        <w:spacing w:before="240" w:line="360" w:lineRule="auto" w:after="120"/>
        <w:ind w:firstLine="0"/>
        <w:jc w:val="both"/>
      </w:pPr>
      <w:r>
        <w:rPr>
          <w:rFonts w:ascii="Times New Roman" w:hAnsi="Times New Roman"/>
          <w:b/>
          <w:sz w:val="24"/>
        </w:rPr>
        <w:t>Regulatory Compliance Risks</w:t>
      </w:r>
    </w:p>
    <w:p>
      <w:pPr>
        <w:spacing w:line="360" w:lineRule="auto"/>
        <w:ind w:firstLine="0"/>
        <w:jc w:val="both"/>
      </w:pPr>
      <w:r>
        <w:rPr>
          <w:rFonts w:ascii="Times New Roman" w:hAnsi="Times New Roman"/>
          <w:sz w:val="24"/>
        </w:rPr>
        <w:t>• Risk Explanation: The battery technology sector is subject to stringent regulatory standards and environmental regulations. Any changes in these regulations could impact StoreDot's ability to commercialize their technology or require costly modifications to their product offerings.</w:t>
      </w:r>
    </w:p>
    <w:p>
      <w:pPr>
        <w:spacing w:line="360" w:lineRule="auto"/>
        <w:ind w:firstLine="0"/>
        <w:jc w:val="both"/>
      </w:pPr>
      <w:r>
        <w:rPr>
          <w:rFonts w:ascii="Times New Roman" w:hAnsi="Times New Roman"/>
          <w:sz w:val="24"/>
        </w:rPr>
        <w:t>• Mitigation: StoreDot should proactively engage with regulatory bodies and industry groups to stay informed of potential regulatory changes. Implementing a robust compliance framework and conducting regular audits can ensure adherence to current standards and prepare the company for future regulatory shifts.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Based on the information provided, StoreDot's extreme fast charging battery technology seems to have strong potential for mass adoption in the EV market. The company's technology is scalable, proven, and has a clear roadmap for production readiness. Potential exit scenarios could include acquisition by a major EV manufacturer looking to enhance their charging infrastructure or an IPO once the technology is commercially ready in 2025. Further details on current partnerships, revenue projections, and market traction would be needed to provide a more comprehensive analysis.</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 Technology Validation &amp; IP</w:t>
      </w:r>
    </w:p>
    <w:p>
      <w:pPr>
        <w:spacing w:line="360" w:lineRule="auto"/>
        <w:ind w:firstLine="0"/>
        <w:jc w:val="both"/>
      </w:pPr>
      <w:r>
        <w:rPr>
          <w:rFonts w:ascii="Times New Roman" w:hAnsi="Times New Roman"/>
          <w:sz w:val="24"/>
        </w:rPr>
        <w:t>• Request detailed thirdparty test results validating the 10minute charging claim and &gt;1200 cycle life under extreme fast charging conditions.</w:t>
      </w:r>
    </w:p>
    <w:p>
      <w:pPr>
        <w:spacing w:line="360" w:lineRule="auto"/>
        <w:ind w:firstLine="0"/>
        <w:jc w:val="both"/>
      </w:pPr>
      <w:r>
        <w:rPr>
          <w:rFonts w:ascii="Times New Roman" w:hAnsi="Times New Roman"/>
          <w:sz w:val="24"/>
        </w:rPr>
        <w:t>• Clarify the scope and geographic coverage of the 78 granted and 22 pending patents; assess potential IP risks or overlaps.</w:t>
      </w:r>
    </w:p>
    <w:p>
      <w:pPr>
        <w:spacing w:line="360" w:lineRule="auto"/>
        <w:ind w:firstLine="0"/>
        <w:jc w:val="both"/>
      </w:pPr>
      <w:r>
        <w:rPr>
          <w:rFonts w:ascii="Times New Roman" w:hAnsi="Times New Roman"/>
          <w:sz w:val="24"/>
        </w:rPr>
        <w:t>• Understand any known limitations or degradation modes not disclosed in materials.</w:t>
      </w:r>
    </w:p>
    <w:p>
      <w:pPr>
        <w:spacing w:line="360" w:lineRule="auto"/>
        <w:ind w:firstLine="0"/>
        <w:jc w:val="both"/>
      </w:pPr>
      <w:r>
        <w:rPr>
          <w:rFonts w:ascii="Times New Roman" w:hAnsi="Times New Roman"/>
          <w:sz w:val="24"/>
        </w:rPr>
        <w:t>• OEM &amp; Manufacturing Partnerships</w:t>
      </w:r>
    </w:p>
    <w:p>
      <w:pPr>
        <w:spacing w:line="360" w:lineRule="auto"/>
        <w:ind w:firstLine="0"/>
        <w:jc w:val="both"/>
      </w:pPr>
      <w:r>
        <w:rPr>
          <w:rFonts w:ascii="Times New Roman" w:hAnsi="Times New Roman"/>
          <w:sz w:val="24"/>
        </w:rPr>
        <w:t>• Obtain a list of the &gt;15 OEMs and manufacturing partners currently testing the 100in5 cells, including stage of engagement and feedback.</w:t>
      </w:r>
    </w:p>
    <w:p>
      <w:pPr>
        <w:spacing w:line="360" w:lineRule="auto"/>
        <w:ind w:firstLine="0"/>
        <w:jc w:val="both"/>
      </w:pPr>
      <w:r>
        <w:rPr>
          <w:rFonts w:ascii="Times New Roman" w:hAnsi="Times New Roman"/>
          <w:sz w:val="24"/>
        </w:rPr>
        <w:t>• Confirm commitments or LOIs from OEMs for commercial adoption starting 2025.</w:t>
      </w:r>
    </w:p>
    <w:p>
      <w:pPr>
        <w:spacing w:line="360" w:lineRule="auto"/>
        <w:ind w:firstLine="0"/>
        <w:jc w:val="both"/>
      </w:pPr>
      <w:r>
        <w:rPr>
          <w:rFonts w:ascii="Times New Roman" w:hAnsi="Times New Roman"/>
          <w:sz w:val="24"/>
        </w:rPr>
        <w:t>• Assess manufacturing scaleup plans, capacity, and timelines to meet projected demand.</w:t>
      </w:r>
    </w:p>
    <w:p>
      <w:pPr>
        <w:spacing w:line="360" w:lineRule="auto"/>
        <w:ind w:firstLine="0"/>
        <w:jc w:val="both"/>
      </w:pPr>
      <w:r>
        <w:rPr>
          <w:rFonts w:ascii="Times New Roman" w:hAnsi="Times New Roman"/>
          <w:sz w:val="24"/>
        </w:rPr>
        <w:t>&lt;HEADER&gt;Technology Scalability &amp; Cost</w:t>
      </w:r>
    </w:p>
    <w:p>
      <w:pPr>
        <w:spacing w:line="360" w:lineRule="auto"/>
        <w:ind w:firstLine="0"/>
        <w:jc w:val="both"/>
      </w:pPr>
      <w:r>
        <w:rPr>
          <w:rFonts w:ascii="Times New Roman" w:hAnsi="Times New Roman"/>
          <w:sz w:val="24"/>
        </w:rPr>
        <w:t>• Request detailed cost model and assumptions supporting the claim of competitive cost structure aligned with industry trajectory.</w:t>
      </w:r>
    </w:p>
    <w:p>
      <w:pPr>
        <w:spacing w:line="360" w:lineRule="auto"/>
        <w:ind w:firstLine="0"/>
        <w:jc w:val="both"/>
      </w:pPr>
      <w:r>
        <w:rPr>
          <w:rFonts w:ascii="Times New Roman" w:hAnsi="Times New Roman"/>
          <w:sz w:val="24"/>
        </w:rPr>
        <w:t>• Clarify compatibility with existing Liion production lines—any required retrofits or CAPEX investments for licensees.</w:t>
      </w:r>
    </w:p>
    <w:p>
      <w:pPr>
        <w:spacing w:line="360" w:lineRule="auto"/>
        <w:ind w:firstLine="0"/>
        <w:jc w:val="both"/>
      </w:pPr>
      <w:r>
        <w:rPr>
          <w:rFonts w:ascii="Times New Roman" w:hAnsi="Times New Roman"/>
          <w:sz w:val="24"/>
        </w:rPr>
        <w:t>• Understand supply chain dependencies, especially for silicondominant anode materials and semisolid state components.</w:t>
      </w:r>
    </w:p>
    <w:p>
      <w:pPr>
        <w:spacing w:line="360" w:lineRule="auto"/>
        <w:ind w:firstLine="0"/>
        <w:jc w:val="both"/>
      </w:pPr>
      <w:r>
        <w:rPr>
          <w:rFonts w:ascii="Times New Roman" w:hAnsi="Times New Roman"/>
          <w:sz w:val="24"/>
        </w:rPr>
        <w:t>&lt;HEADER&gt;Market &amp; Competitive Landscape</w:t>
      </w:r>
    </w:p>
    <w:p>
      <w:pPr>
        <w:spacing w:line="360" w:lineRule="auto"/>
        <w:ind w:firstLine="0"/>
        <w:jc w:val="both"/>
      </w:pPr>
      <w:r>
        <w:rPr>
          <w:rFonts w:ascii="Times New Roman" w:hAnsi="Times New Roman"/>
          <w:sz w:val="24"/>
        </w:rPr>
        <w:t>• Request competitive benchmarking data vs. other emerging battery technologies, including solidstate and semisolid state batteries beyond 2025.</w:t>
      </w:r>
    </w:p>
    <w:p>
      <w:pPr>
        <w:spacing w:line="360" w:lineRule="auto"/>
        <w:ind w:firstLine="0"/>
        <w:jc w:val="both"/>
      </w:pPr>
      <w:r>
        <w:rPr>
          <w:rFonts w:ascii="Times New Roman" w:hAnsi="Times New Roman"/>
          <w:sz w:val="24"/>
        </w:rPr>
        <w:t>• Clarify StoreDot’s defensibility against competitors with similar fastcharging claims or alternative chemistries.</w:t>
      </w:r>
    </w:p>
    <w:p>
      <w:pPr>
        <w:spacing w:line="360" w:lineRule="auto"/>
        <w:ind w:firstLine="0"/>
        <w:jc w:val="both"/>
      </w:pPr>
      <w:r>
        <w:rPr>
          <w:rFonts w:ascii="Times New Roman" w:hAnsi="Times New Roman"/>
          <w:sz w:val="24"/>
        </w:rPr>
        <w:t>• Understand regulatory or standardization risks related to charging connectors and infrastructure compatibility.</w:t>
      </w:r>
    </w:p>
    <w:p>
      <w:pPr>
        <w:spacing w:line="360" w:lineRule="auto"/>
        <w:ind w:firstLine="0"/>
        <w:jc w:val="both"/>
      </w:pPr>
      <w:r>
        <w:rPr>
          <w:rFonts w:ascii="Times New Roman" w:hAnsi="Times New Roman"/>
          <w:sz w:val="24"/>
        </w:rPr>
        <w:t>&lt;HEADER&gt;Financials &amp; Business Model</w:t>
      </w:r>
    </w:p>
    <w:p>
      <w:pPr>
        <w:spacing w:line="360" w:lineRule="auto"/>
        <w:ind w:firstLine="0"/>
        <w:jc w:val="both"/>
      </w:pPr>
      <w:r>
        <w:rPr>
          <w:rFonts w:ascii="Times New Roman" w:hAnsi="Times New Roman"/>
          <w:sz w:val="24"/>
        </w:rPr>
        <w:t>• Obtain current financials, burn rate, and runway.</w:t>
      </w:r>
    </w:p>
    <w:p>
      <w:pPr>
        <w:spacing w:line="360" w:lineRule="auto"/>
        <w:ind w:firstLine="0"/>
        <w:jc w:val="both"/>
      </w:pPr>
      <w:r>
        <w:rPr>
          <w:rFonts w:ascii="Times New Roman" w:hAnsi="Times New Roman"/>
          <w:sz w:val="24"/>
        </w:rPr>
        <w:t>• Clarify revenue model: licensing fees, cell sales, joint ventures, or other.</w:t>
      </w:r>
    </w:p>
    <w:p>
      <w:pPr>
        <w:spacing w:line="360" w:lineRule="auto"/>
        <w:ind w:firstLine="0"/>
        <w:jc w:val="both"/>
      </w:pPr>
      <w:r>
        <w:rPr>
          <w:rFonts w:ascii="Times New Roman" w:hAnsi="Times New Roman"/>
          <w:sz w:val="24"/>
        </w:rPr>
        <w:t>• Understand planned capital raise(s) and use of proceeds.</w:t>
      </w:r>
    </w:p>
    <w:p>
      <w:pPr>
        <w:spacing w:line="360" w:lineRule="auto"/>
        <w:ind w:firstLine="0"/>
        <w:jc w:val="both"/>
      </w:pPr>
      <w:r>
        <w:rPr>
          <w:rFonts w:ascii="Times New Roman" w:hAnsi="Times New Roman"/>
          <w:sz w:val="24"/>
        </w:rPr>
        <w:t>&lt;HEADER&gt;Roadmap &amp; Product Pipeline</w:t>
      </w:r>
    </w:p>
    <w:p>
      <w:pPr>
        <w:spacing w:line="360" w:lineRule="auto"/>
        <w:ind w:firstLine="0"/>
        <w:jc w:val="both"/>
      </w:pPr>
      <w:r>
        <w:rPr>
          <w:rFonts w:ascii="Times New Roman" w:hAnsi="Times New Roman"/>
          <w:sz w:val="24"/>
        </w:rPr>
        <w:t>• Request detailed R&amp;D roadmap milestones and go/nogo decision points for 2024, 2028, and 2032 production readiness targets.</w:t>
      </w:r>
    </w:p>
    <w:p>
      <w:pPr>
        <w:spacing w:line="360" w:lineRule="auto"/>
        <w:ind w:firstLine="0"/>
        <w:jc w:val="both"/>
      </w:pPr>
      <w:r>
        <w:rPr>
          <w:rFonts w:ascii="Times New Roman" w:hAnsi="Times New Roman"/>
          <w:sz w:val="24"/>
        </w:rPr>
        <w:t>• Clarify plans for cobalt reduction and sustainability metrics.</w:t>
      </w:r>
    </w:p>
    <w:p>
      <w:pPr>
        <w:spacing w:line="360" w:lineRule="auto"/>
        <w:ind w:firstLine="0"/>
        <w:jc w:val="both"/>
      </w:pPr>
      <w:r>
        <w:rPr>
          <w:rFonts w:ascii="Times New Roman" w:hAnsi="Times New Roman"/>
          <w:sz w:val="24"/>
        </w:rPr>
        <w:t>&lt;HEADER&gt;Team &amp; Governance</w:t>
      </w:r>
    </w:p>
    <w:p>
      <w:pPr>
        <w:spacing w:line="360" w:lineRule="auto"/>
        <w:ind w:firstLine="0"/>
        <w:jc w:val="both"/>
      </w:pPr>
      <w:r>
        <w:rPr>
          <w:rFonts w:ascii="Times New Roman" w:hAnsi="Times New Roman"/>
          <w:sz w:val="24"/>
        </w:rPr>
        <w:t>• Validate key team members’ ongoing involvement and any recent changes.</w:t>
      </w:r>
    </w:p>
    <w:p>
      <w:pPr>
        <w:spacing w:line="360" w:lineRule="auto"/>
        <w:ind w:firstLine="0"/>
        <w:jc w:val="both"/>
      </w:pPr>
      <w:r>
        <w:rPr>
          <w:rFonts w:ascii="Times New Roman" w:hAnsi="Times New Roman"/>
          <w:sz w:val="24"/>
        </w:rPr>
        <w:t>• Understand governance structure and investor composition.</w:t>
      </w:r>
    </w:p>
    <w:p>
      <w:pPr>
        <w:spacing w:line="360" w:lineRule="auto"/>
        <w:ind w:firstLine="0"/>
        <w:jc w:val="both"/>
      </w:pPr>
      <w:r>
        <w:rPr>
          <w:rFonts w:ascii="Times New Roman" w:hAnsi="Times New Roman"/>
          <w:sz w:val="24"/>
        </w:rPr>
        <w:t>&lt;HEADER&gt;Next Steps</w:t>
      </w:r>
    </w:p>
    <w:p>
      <w:pPr>
        <w:spacing w:line="360" w:lineRule="auto"/>
        <w:ind w:firstLine="0"/>
        <w:jc w:val="both"/>
      </w:pPr>
      <w:r>
        <w:rPr>
          <w:rFonts w:ascii="Times New Roman" w:hAnsi="Times New Roman"/>
          <w:sz w:val="24"/>
        </w:rPr>
        <w:t>• Schedule technical deepdive with CTO and R&amp;D leads.</w:t>
      </w:r>
    </w:p>
    <w:p>
      <w:pPr>
        <w:spacing w:line="360" w:lineRule="auto"/>
        <w:ind w:firstLine="0"/>
        <w:jc w:val="both"/>
      </w:pPr>
      <w:r>
        <w:rPr>
          <w:rFonts w:ascii="Times New Roman" w:hAnsi="Times New Roman"/>
          <w:sz w:val="24"/>
        </w:rPr>
        <w:t>• Conduct reference calls with at least 3 OEM partners.</w:t>
      </w:r>
    </w:p>
    <w:p>
      <w:pPr>
        <w:spacing w:line="360" w:lineRule="auto"/>
        <w:ind w:firstLine="0"/>
        <w:jc w:val="both"/>
      </w:pPr>
      <w:r>
        <w:rPr>
          <w:rFonts w:ascii="Times New Roman" w:hAnsi="Times New Roman"/>
          <w:sz w:val="24"/>
        </w:rPr>
        <w:t>• Engage independent battery technology expert for due diligence.</w:t>
      </w:r>
    </w:p>
    <w:p>
      <w:pPr>
        <w:spacing w:line="360" w:lineRule="auto"/>
        <w:ind w:firstLine="0"/>
        <w:jc w:val="both"/>
      </w:pPr>
      <w:r>
        <w:rPr>
          <w:rFonts w:ascii="Times New Roman" w:hAnsi="Times New Roman"/>
          <w:sz w:val="24"/>
        </w:rPr>
        <w:t>• Review detailed financial model and IP portfolio with legal counsel.</w:t>
      </w:r>
    </w:p>
    <w:p>
      <w:pPr>
        <w:spacing w:line="360" w:lineRule="auto"/>
        <w:ind w:firstLine="0"/>
        <w:jc w:val="both"/>
      </w:pPr>
      <w:r>
        <w:rPr>
          <w:rFonts w:ascii="Times New Roman" w:hAnsi="Times New Roman"/>
          <w:sz w:val="24"/>
        </w:rPr>
        <w:t>• If these points are addressed satisfactorily, proceed to valuation and term sheet discussions.</w:t>
      </w:r>
    </w:p>
    <w:p>
      <w:pPr>
        <w:spacing w:before="240" w:line="360" w:lineRule="auto" w:after="120"/>
        <w:ind w:firstLine="0"/>
        <w:jc w:val="both"/>
      </w:pPr>
      <w:r>
        <w:rPr>
          <w:rFonts w:ascii="Times New Roman" w:hAnsi="Times New Roman"/>
          <w:b/>
          <w:sz w:val="24"/>
        </w:rPr>
        <w:t>16. FIGURES &amp; VISUALS</w:t>
      </w:r>
    </w:p>
    <w:p>
      <w:pPr>
        <w:spacing w:before="240" w:line="360" w:lineRule="auto" w:after="120"/>
        <w:ind w:firstLine="0"/>
        <w:jc w:val="both"/>
      </w:pPr>
      <w:r>
        <w:rPr>
          <w:rFonts w:ascii="Times New Roman" w:hAnsi="Times New Roman"/>
          <w:b/>
          <w:sz w:val="24"/>
        </w:rPr>
        <w:t>17. APPENDIX: ADDITIONAL TABLES</w:t>
      </w:r>
    </w:p>
    <w:p>
      <w:pPr>
        <w:spacing w:before="240" w:line="360" w:lineRule="auto" w:after="120"/>
        <w:ind w:firstLine="0"/>
        <w:jc w:val="both"/>
      </w:pPr>
      <w:r>
        <w:rPr>
          <w:rFonts w:ascii="Times New Roman" w:hAnsi="Times New Roman"/>
          <w:b/>
          <w:sz w:val="24"/>
        </w:rPr>
        <w:t>18. DISCUSSION &amp; ANALYST COMMENTARY</w:t>
      </w:r>
    </w:p>
    <w:p>
      <w:pPr>
        <w:spacing w:before="240" w:line="360" w:lineRule="auto" w:after="120"/>
        <w:ind w:firstLine="0"/>
        <w:jc w:val="both"/>
      </w:pPr>
      <w:r>
        <w:rPr>
          <w:rFonts w:ascii="Times New Roman" w:hAnsi="Times New Roman"/>
          <w:b/>
          <w:sz w:val="24"/>
        </w:rPr>
        <w:t>Analyst Commentary on StoreDot Investment Memo</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Compelling Technology Focus: StoreDot’s silicondominant anode lithiumion battery technology addresses a critical EV adoption barrier—charging time—by enabling a 100mile charge in 510 minutes. This is a significant improvement over current fastcharging solutions and directly targets “charging anxiety,” a welldocumented consumer pain point.</w:t>
      </w:r>
    </w:p>
    <w:p>
      <w:pPr>
        <w:spacing w:line="360" w:lineRule="auto"/>
        <w:ind w:firstLine="0"/>
        <w:jc w:val="both"/>
      </w:pPr>
      <w:r>
        <w:rPr>
          <w:rFonts w:ascii="Times New Roman" w:hAnsi="Times New Roman"/>
          <w:sz w:val="24"/>
        </w:rPr>
        <w:t>• Licensing Business Model: By focusing on licensing rather than capitalintensive manufacturing, StoreDot can scale rapidly and leverage existing Liion production infrastructure. This reduces upfront capex requirements and accelerates market penetration through OEM and battery manufacturer partnerships.</w:t>
      </w:r>
    </w:p>
    <w:p>
      <w:pPr>
        <w:spacing w:line="360" w:lineRule="auto"/>
        <w:ind w:firstLine="0"/>
        <w:jc w:val="both"/>
      </w:pPr>
      <w:r>
        <w:rPr>
          <w:rFonts w:ascii="Times New Roman" w:hAnsi="Times New Roman"/>
          <w:sz w:val="24"/>
        </w:rPr>
        <w:t>• Strong IP Position: With 78 granted US patents and 22 pending, StoreDot has a robust intellectual property portfolio that can provide defensibility and licensing leverage.</w:t>
      </w:r>
    </w:p>
    <w:p>
      <w:pPr>
        <w:spacing w:line="360" w:lineRule="auto"/>
        <w:ind w:firstLine="0"/>
        <w:jc w:val="both"/>
      </w:pPr>
      <w:r>
        <w:rPr>
          <w:rFonts w:ascii="Times New Roman" w:hAnsi="Times New Roman"/>
          <w:sz w:val="24"/>
        </w:rPr>
        <w:t>• Partnerships with OEMs: Engagement with over 15 OEMs testing their cells indicates early industry validation and potential for commercial adoption starting 2025.</w:t>
      </w:r>
    </w:p>
    <w:p>
      <w:pPr>
        <w:spacing w:line="360" w:lineRule="auto"/>
        <w:ind w:firstLine="0"/>
        <w:jc w:val="both"/>
      </w:pPr>
      <w:r>
        <w:rPr>
          <w:rFonts w:ascii="Times New Roman" w:hAnsi="Times New Roman"/>
          <w:sz w:val="24"/>
        </w:rPr>
        <w:t>• Clear Technology Roadmap: The company’s forwardlooking plans toward semisolid (2028) and postlithium batteries (2032) demonstrate strategic vision to maintain technological relevance beyond initial commercialization.</w:t>
      </w:r>
    </w:p>
    <w:p>
      <w:pPr>
        <w:spacing w:line="360" w:lineRule="auto"/>
        <w:ind w:firstLine="0"/>
        <w:jc w:val="both"/>
      </w:pPr>
      <w:r>
        <w:rPr>
          <w:rFonts w:ascii="Times New Roman" w:hAnsi="Times New Roman"/>
          <w:sz w:val="24"/>
        </w:rPr>
        <w:t>• ESG Alignment: Reduced cobalt content and improved cycle life (&gt;1200 cycles) support sustainability goals, aligning with regulatory trends and investor ESG mandates.</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Financial Transparency: No financial data, burn rate, or funding runway is disclosed, creating uncertainty around the company’s ability to sustain operations through commercialization.</w:t>
      </w:r>
    </w:p>
    <w:p>
      <w:pPr>
        <w:spacing w:line="360" w:lineRule="auto"/>
        <w:ind w:firstLine="0"/>
        <w:jc w:val="both"/>
      </w:pPr>
      <w:r>
        <w:rPr>
          <w:rFonts w:ascii="Times New Roman" w:hAnsi="Times New Roman"/>
          <w:sz w:val="24"/>
        </w:rPr>
        <w:t>• Unverified Technical Claims: Critical performance metrics such as cycle life under extreme fast charging, degradation modes, and safety data lack independent validation. Without thirdparty testing, claims remain unsubstantiated.</w:t>
      </w:r>
    </w:p>
    <w:p>
      <w:pPr>
        <w:spacing w:line="360" w:lineRule="auto"/>
        <w:ind w:firstLine="0"/>
        <w:jc w:val="both"/>
      </w:pPr>
      <w:r>
        <w:rPr>
          <w:rFonts w:ascii="Times New Roman" w:hAnsi="Times New Roman"/>
          <w:sz w:val="24"/>
        </w:rPr>
        <w:t>• Market Size Ambiguity: The memo provides no independent TAM, SAM, or SOM estimates for the XFC battery segment, making market opportunity sizing speculative and investor confidence limited.</w:t>
      </w:r>
    </w:p>
    <w:p>
      <w:pPr>
        <w:spacing w:line="360" w:lineRule="auto"/>
        <w:ind w:firstLine="0"/>
        <w:jc w:val="both"/>
      </w:pPr>
      <w:r>
        <w:rPr>
          <w:rFonts w:ascii="Times New Roman" w:hAnsi="Times New Roman"/>
          <w:sz w:val="24"/>
        </w:rPr>
        <w:t>• Limited Team Disclosure: Key management bios are sparse, with no LinkedIn profiles or detailed track records for CFO and Chairman, limiting assessment of leadership depth and operational capability.</w:t>
      </w:r>
    </w:p>
    <w:p>
      <w:pPr>
        <w:spacing w:before="240" w:line="360" w:lineRule="auto" w:after="120"/>
        <w:ind w:firstLine="0"/>
        <w:jc w:val="both"/>
      </w:pPr>
      <w:r>
        <w:rPr>
          <w:rFonts w:ascii="Times New Roman" w:hAnsi="Times New Roman"/>
          <w:b/>
          <w:sz w:val="24"/>
        </w:rPr>
        <w:t>Operational Risks in Licensing Model: Success depends heavily on partner execution and alignment. Managing multiple OEMs and manufacturers without direct control can introduce delays and quality issues.</w:t>
      </w:r>
    </w:p>
    <w:p>
      <w:pPr>
        <w:spacing w:line="360" w:lineRule="auto"/>
        <w:ind w:firstLine="0"/>
        <w:jc w:val="both"/>
      </w:pPr>
      <w:r>
        <w:rPr>
          <w:rFonts w:ascii="Times New Roman" w:hAnsi="Times New Roman"/>
          <w:sz w:val="24"/>
        </w:rPr>
        <w:t>• Regulatory and Safety Uncertainties: Battery technologies face stringent safety and environmental regulations. The memo lacks detailed compliance strategies or certifications, posing commercialization risks.</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FirstMover Advantage in XFC: StoreDot can establish itself as the goto provider for extreme fast charging batteries, a niche poised for growth as EV adoption accelerates globally.</w:t>
      </w:r>
    </w:p>
    <w:p>
      <w:pPr>
        <w:spacing w:line="360" w:lineRule="auto"/>
        <w:ind w:firstLine="0"/>
        <w:jc w:val="both"/>
      </w:pPr>
      <w:r>
        <w:rPr>
          <w:rFonts w:ascii="Times New Roman" w:hAnsi="Times New Roman"/>
          <w:sz w:val="24"/>
        </w:rPr>
        <w:t>• Strategic Partnerships &amp; Alliances: Deepening OEM relationships and expanding licensing agreements can create network effects and lockin, increasing barriers for competitors.</w:t>
      </w:r>
    </w:p>
    <w:p>
      <w:pPr>
        <w:spacing w:line="360" w:lineRule="auto"/>
        <w:ind w:firstLine="0"/>
        <w:jc w:val="both"/>
      </w:pPr>
      <w:r>
        <w:rPr>
          <w:rFonts w:ascii="Times New Roman" w:hAnsi="Times New Roman"/>
          <w:sz w:val="24"/>
        </w:rPr>
        <w:t>• Expansion into Adjacent Markets: Beyond EVs, fastcharging batteries could disrupt consumer electronics, drones, and grid storage sectors.</w:t>
      </w:r>
    </w:p>
    <w:p>
      <w:pPr>
        <w:spacing w:line="360" w:lineRule="auto"/>
        <w:ind w:firstLine="0"/>
        <w:jc w:val="both"/>
      </w:pPr>
      <w:r>
        <w:rPr>
          <w:rFonts w:ascii="Times New Roman" w:hAnsi="Times New Roman"/>
          <w:sz w:val="24"/>
        </w:rPr>
        <w:t>• Technology Evolution: Advancing toward semisolid and postlithium chemistries offers potential for sustained competitive advantage and new revenue streams.</w:t>
      </w:r>
    </w:p>
    <w:p>
      <w:pPr>
        <w:spacing w:line="360" w:lineRule="auto"/>
        <w:ind w:firstLine="0"/>
        <w:jc w:val="both"/>
      </w:pPr>
      <w:r>
        <w:rPr>
          <w:rFonts w:ascii="Times New Roman" w:hAnsi="Times New Roman"/>
          <w:sz w:val="24"/>
        </w:rPr>
        <w:t>• Regulatory Tailwinds: Increasing government mandates for EV adoption and clean energy infrastructure support market growth and potential subsidies.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Technology Maturity and ScaleUp: Transitioning from prototype/testing to mass production is challenging. Delays or performance shortfalls could derail commercialization timelines.</w:t>
      </w:r>
    </w:p>
    <w:p>
      <w:pPr>
        <w:spacing w:line="360" w:lineRule="auto"/>
        <w:ind w:firstLine="0"/>
        <w:jc w:val="both"/>
      </w:pPr>
      <w:r>
        <w:rPr>
          <w:rFonts w:ascii="Times New Roman" w:hAnsi="Times New Roman"/>
          <w:sz w:val="24"/>
        </w:rPr>
        <w:t>• Competitive Pressure: Solidstate battery startups (QuantumScape, Solid Power) and material innovators (Sila Nanotechnologies) are wellfunded and advancing rapidly, potentially eroding StoreDot’s market share.</w:t>
      </w:r>
    </w:p>
    <w:p>
      <w:pPr>
        <w:spacing w:line="360" w:lineRule="auto"/>
        <w:ind w:firstLine="0"/>
        <w:jc w:val="both"/>
      </w:pPr>
      <w:r>
        <w:rPr>
          <w:rFonts w:ascii="Times New Roman" w:hAnsi="Times New Roman"/>
          <w:sz w:val="24"/>
        </w:rPr>
        <w:t>• Supply Chain Dependencies: Silicondominant anode materials and semisolid components may face raw material constraints or cost volatility.</w:t>
      </w:r>
    </w:p>
    <w:p>
      <w:pPr>
        <w:spacing w:line="360" w:lineRule="auto"/>
        <w:ind w:firstLine="0"/>
        <w:jc w:val="both"/>
      </w:pPr>
      <w:r>
        <w:rPr>
          <w:rFonts w:ascii="Times New Roman" w:hAnsi="Times New Roman"/>
          <w:sz w:val="24"/>
        </w:rPr>
        <w:t>• Market Adoption Uncertainty: OEMs may hesitate to adopt unproven technology at scale, especially given safety and warranty concerns.</w:t>
      </w:r>
    </w:p>
    <w:p>
      <w:pPr>
        <w:spacing w:line="360" w:lineRule="auto"/>
        <w:ind w:firstLine="0"/>
        <w:jc w:val="both"/>
      </w:pPr>
      <w:r>
        <w:rPr>
          <w:rFonts w:ascii="Times New Roman" w:hAnsi="Times New Roman"/>
          <w:sz w:val="24"/>
        </w:rPr>
        <w:t>• Financial Viability: Without clear funding visibility, StoreDot risks running out of capital before achieving revenue generation.</w:t>
      </w:r>
    </w:p>
    <w:p>
      <w:pPr>
        <w:spacing w:before="240" w:line="360" w:lineRule="auto" w:after="120"/>
        <w:ind w:firstLine="0"/>
        <w:jc w:val="both"/>
      </w:pPr>
      <w:r>
        <w:rPr>
          <w:rFonts w:ascii="Times New Roman" w:hAnsi="Times New Roman"/>
          <w:b/>
          <w:sz w:val="24"/>
        </w:rPr>
        <w:t>Regulatory &amp; Standardization Risks: Changes in battery safety standards, charging infrastructure compatibility, or raw material sourcing regulations could impose costly adjustments.</w:t>
      </w:r>
    </w:p>
    <w:p>
      <w:pPr>
        <w:spacing w:before="240" w:line="360" w:lineRule="auto" w:after="120"/>
        <w:ind w:firstLine="0"/>
        <w:jc w:val="both"/>
      </w:pPr>
      <w:r>
        <w:rPr>
          <w:rFonts w:ascii="Times New Roman" w:hAnsi="Times New Roman"/>
          <w:b/>
          <w:sz w:val="24"/>
        </w:rPr>
        <w:t>Actionable Recommendations for Investors</w:t>
      </w:r>
    </w:p>
    <w:p>
      <w:pPr>
        <w:spacing w:line="360" w:lineRule="auto"/>
        <w:ind w:firstLine="0"/>
        <w:jc w:val="both"/>
      </w:pPr>
      <w:r>
        <w:rPr>
          <w:rFonts w:ascii="Times New Roman" w:hAnsi="Times New Roman"/>
          <w:sz w:val="24"/>
        </w:rPr>
        <w:t>1. Demand Rigorous Technical Validation: Insist on independent third-party testing reports confirming charging speed, cycle life, safety, and degradation under real-world conditions before committing capital.</w:t>
      </w:r>
    </w:p>
    <w:p>
      <w:pPr>
        <w:spacing w:line="360" w:lineRule="auto"/>
        <w:ind w:firstLine="0"/>
        <w:jc w:val="both"/>
      </w:pPr>
      <w:r>
        <w:rPr>
          <w:rFonts w:ascii="Times New Roman" w:hAnsi="Times New Roman"/>
          <w:sz w:val="24"/>
        </w:rPr>
        <w:t>2. Request Full Financial Disclosure: Obtain audited financial statements, burn rate, and funding runway details to assess financial health and capital needs.</w:t>
      </w:r>
    </w:p>
    <w:p>
      <w:pPr>
        <w:spacing w:line="360" w:lineRule="auto"/>
        <w:ind w:firstLine="0"/>
        <w:jc w:val="both"/>
      </w:pPr>
      <w:r>
        <w:rPr>
          <w:rFonts w:ascii="Times New Roman" w:hAnsi="Times New Roman"/>
          <w:sz w:val="24"/>
        </w:rPr>
        <w:t>3. Validate OEM Partnerships: Conduct reference calls with at least 3 OEM partners to verify engagement depth, feedback, and commercial commitments or LOIs.</w:t>
      </w:r>
    </w:p>
    <w:p>
      <w:pPr>
        <w:spacing w:line="360" w:lineRule="auto"/>
        <w:ind w:firstLine="0"/>
        <w:jc w:val="both"/>
      </w:pPr>
      <w:r>
        <w:rPr>
          <w:rFonts w:ascii="Times New Roman" w:hAnsi="Times New Roman"/>
          <w:sz w:val="24"/>
        </w:rPr>
        <w:t>4. Assess IP Strength and Freedom to Operate: Engage legal counsel to review patent scope, geographic coverage, and potential infringement risks.</w:t>
      </w:r>
    </w:p>
    <w:p>
      <w:pPr>
        <w:spacing w:line="360" w:lineRule="auto"/>
        <w:ind w:firstLine="0"/>
        <w:jc w:val="both"/>
      </w:pPr>
      <w:r>
        <w:rPr>
          <w:rFonts w:ascii="Times New Roman" w:hAnsi="Times New Roman"/>
          <w:sz w:val="24"/>
        </w:rPr>
        <w:t>5. Evaluate Licensing Model Execution Plan: Scrutinize StoreDot’s partner management capabilities and contingency plans to mitigate operational risks.</w:t>
      </w:r>
    </w:p>
    <w:p>
      <w:pPr>
        <w:spacing w:line="360" w:lineRule="auto"/>
        <w:ind w:firstLine="0"/>
        <w:jc w:val="both"/>
      </w:pPr>
      <w:r>
        <w:rPr>
          <w:rFonts w:ascii="Times New Roman" w:hAnsi="Times New Roman"/>
          <w:sz w:val="24"/>
        </w:rPr>
        <w:t>6. Monitor Competitive Landscape: Benchmark StoreDot’s technology and cost structure against emerging solid-state and semi-solid battery players to gauge defensibility.</w:t>
      </w:r>
    </w:p>
    <w:p>
      <w:pPr>
        <w:spacing w:line="360" w:lineRule="auto"/>
        <w:ind w:firstLine="0"/>
        <w:jc w:val="both"/>
      </w:pPr>
      <w:r>
        <w:rPr>
          <w:rFonts w:ascii="Times New Roman" w:hAnsi="Times New Roman"/>
          <w:sz w:val="24"/>
        </w:rPr>
        <w:t>7. Engage Independent Battery Experts: Commission technical due diligence to assess scalability, manufacturability, and integration challenges.</w:t>
      </w:r>
    </w:p>
    <w:p>
      <w:pPr>
        <w:spacing w:line="360" w:lineRule="auto"/>
        <w:ind w:firstLine="0"/>
        <w:jc w:val="both"/>
      </w:pPr>
      <w:r>
        <w:rPr>
          <w:rFonts w:ascii="Times New Roman" w:hAnsi="Times New Roman"/>
          <w:sz w:val="24"/>
        </w:rPr>
        <w:t>8. Clarify Regulatory Strategy: Ensure StoreDot has a proactive compliance framework and is engaged with regulatory bodies to anticipate changes.</w:t>
      </w:r>
    </w:p>
    <w:p>
      <w:pPr>
        <w:spacing w:line="360" w:lineRule="auto"/>
        <w:ind w:firstLine="0"/>
        <w:jc w:val="both"/>
      </w:pPr>
      <w:r>
        <w:rPr>
          <w:rFonts w:ascii="Times New Roman" w:hAnsi="Times New Roman"/>
          <w:sz w:val="24"/>
        </w:rPr>
        <w:t>9. Consider Staged Investment: Structure funding rounds with milestones tied to technical validation, OEM commitments, and manufacturing scale-up to mitigate risk.</w:t>
      </w:r>
    </w:p>
    <w:p>
      <w:pPr>
        <w:spacing w:line="360" w:lineRule="auto"/>
        <w:ind w:firstLine="0"/>
        <w:jc w:val="both"/>
      </w:pPr>
      <w:r>
        <w:rPr>
          <w:rFonts w:ascii="Times New Roman" w:hAnsi="Times New Roman"/>
          <w:sz w:val="24"/>
        </w:rPr>
        <w:t>10. Prepare Exit Strategy: Explore potential acquisition interest from major EV OEMs or battery manufacturers and monitor IPO readiness aligned with 2025 commercialization.</w:t>
      </w:r>
    </w:p>
    <w:p>
      <w:pPr>
        <w:spacing w:before="240" w:line="360" w:lineRule="auto" w:after="120"/>
        <w:ind w:firstLine="0"/>
        <w:jc w:val="both"/>
      </w:pPr>
      <w:r>
        <w:rPr>
          <w:rFonts w:ascii="Times New Roman" w:hAnsi="Times New Roman"/>
          <w:b/>
          <w:sz w:val="24"/>
        </w:rPr>
        <w:t>Summary</w:t>
      </w:r>
    </w:p>
    <w:p>
      <w:pPr>
        <w:spacing w:line="360" w:lineRule="auto"/>
        <w:ind w:firstLine="0"/>
        <w:jc w:val="both"/>
      </w:pPr>
      <w:r>
        <w:rPr>
          <w:rFonts w:ascii="Times New Roman" w:hAnsi="Times New Roman"/>
          <w:sz w:val="24"/>
        </w:rPr>
        <w:t>StoreDot presents a promising deep-tech opportunity targeting a critical bottleneck in EV adoption with a scalable licensing model and strong IP. However, significant information gaps remain around technical validation, financial health, market sizing, and operational execution. Investors should adopt a cautious, diligence-intensive approach, demanding transparency and independent verification before proceeding. If StoreDot can substantiate its claims and secure firm OEM commitments, it could become a key enabler in the EV ecosystem with attractive upside potential.</w:t>
      </w:r>
    </w:p>
    <w:p>
      <w:pPr>
        <w:spacing w:line="360" w:lineRule="auto"/>
        <w:ind w:firstLine="0"/>
        <w:jc w:val="both"/>
      </w:pPr>
      <w:r>
        <w:rPr>
          <w:rFonts w:ascii="Times New Roman" w:hAnsi="Times New Roman"/>
          <w:sz w:val="24"/>
        </w:rPr>
        <w:t>Generated by VC Analysis System on July 14,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47</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26</cp:revision>
  <cp:lastPrinted>2012-08-22T12:07:00Z</cp:lastPrinted>
  <dcterms:created xsi:type="dcterms:W3CDTF">2025-07-11T11:27:00Z</dcterms:created>
  <dcterms:modified xsi:type="dcterms:W3CDTF">2025-07-14T13:08:00Z</dcterms:modified>
</cp:coreProperties>
</file>