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**Business Model Schema**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**Business Model Overview**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**Potential Revenue Streams**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**Customer Segments**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**Strategy**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**Additional Research Needed**</w:t>
      </w:r>
    </w:p>
    <w:p>
      <w:pPr>
        <w:jc w:val="left"/>
      </w:pPr>
      <w:r>
        <w:rPr>
          <w:rFonts w:ascii="Times New Roman" w:hAnsi="Times New Roman"/>
          <w:sz w:val="24"/>
        </w:rPr>
        <w:t>StoreDot is a company that appears to be involved in the development of advanced battery technologies.</w:t>
      </w:r>
    </w:p>
    <w:p>
      <w:pPr>
        <w:jc w:val="left"/>
      </w:pPr>
      <w:r>
        <w:rPr>
          <w:rFonts w:ascii="Times New Roman" w:hAnsi="Times New Roman"/>
          <w:sz w:val="24"/>
        </w:rPr>
        <w:t>• Automotive Manufacturers: Companies looking to integrate advanced battery technology into electric vehicles.</w:t>
      </w:r>
    </w:p>
    <w:p>
      <w:pPr>
        <w:jc w:val="left"/>
      </w:pPr>
      <w:r>
        <w:rPr>
          <w:rFonts w:ascii="Times New Roman" w:hAnsi="Times New Roman"/>
          <w:sz w:val="24"/>
        </w:rPr>
        <w:t>• Consumer Electronics Companies: Manufacturers seeking to enhance the battery life and charging speed of their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