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8"/>
        </w:rPr>
        <w:t>8. BUSINESS MODEL</w:t>
      </w:r>
    </w:p>
    <w:p>
      <w:pPr>
        <w:spacing w:line="360" w:lineRule="auto"/>
        <w:ind w:firstLine="0"/>
        <w:jc w:val="both"/>
      </w:pPr>
      <w:r>
        <w:rPr>
          <w:rFonts w:ascii="Times New Roman" w:hAnsi="Times New Roman"/>
          <w:b w:val="0"/>
          <w:sz w:val="24"/>
        </w:rPr>
        <w:t>Based on the available information, StoreDot appears to be focused on developing advanced battery technologies that enable ultra-fast charging, primarily targeting the electric vehicle and consumer electronics markets. The potential business model may involve licensing its proprietary technology to battery manufacturers or partnering with electric vehicle and consumer electronics companies to integrate its technology into their products. Revenue streams could include licensing fees, royalties, and potentially direct sales of battery components or systems.</w:t>
      </w:r>
    </w:p>
    <w:p>
      <w:pPr>
        <w:spacing w:line="360" w:lineRule="auto"/>
        <w:ind w:firstLine="0"/>
        <w:jc w:val="both"/>
      </w:pPr>
      <w:r>
        <w:rPr>
          <w:rFonts w:ascii="Times New Roman" w:hAnsi="Times New Roman"/>
          <w:b w:val="0"/>
          <w:sz w:val="24"/>
        </w:rPr>
        <w:t>The customer segments likely include electric vehicle manufacturers, consumer electronics companies, and potentially energy storage firms. StoreDot's go-to-market strategy may involve strategic partnerships and collaborations with industry leaders to accelerate adoption and scale production. The company's technology seems highly scalable, given the large total addressable market (TAM) of $160 billion and serviceable available market (SAM) of $48 billion.</w:t>
      </w:r>
    </w:p>
    <w:p>
      <w:pPr>
        <w:spacing w:line="360" w:lineRule="auto"/>
        <w:ind w:firstLine="0"/>
        <w:jc w:val="both"/>
      </w:pPr>
      <w:r>
        <w:rPr>
          <w:rFonts w:ascii="Times New Roman" w:hAnsi="Times New Roman"/>
          <w:b w:val="0"/>
          <w:sz w:val="24"/>
        </w:rPr>
        <w:t>There is no recent news or indication of a business model pivot from the web search context provided. Additional research would be beneficial to confirm the specifics of StoreDot's partnerships, revenue model, and any recent strategic developments.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