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4"/>
        </w:rPr>
        <w:t>**Financial Analysis📊**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**Data Sources 🔗**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**Funding Rounds:**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**Current Valuation:**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**Latest Funding Round:**</w:t>
      </w:r>
    </w:p>
    <w:p>
      <w:pPr>
        <w:jc w:val="left"/>
      </w:pPr>
      <w:r>
        <w:rPr>
          <w:rFonts w:ascii="Times New Roman" w:hAnsi="Times New Roman"/>
          <w:b/>
          <w:sz w:val="24"/>
        </w:rPr>
        <w:t>**Total Funding Raised:**</w:t>
      </w:r>
    </w:p>
    <w:p>
      <w:pPr>
        <w:jc w:val="left"/>
      </w:pPr>
      <w:r>
        <w:rPr>
          <w:rFonts w:ascii="Times New Roman" w:hAnsi="Times New Roman"/>
          <w:b/>
          <w:sz w:val="24"/>
        </w:rPr>
        <w:t>• Current Valuation: $1,500,000,000</w:t>
      </w:r>
    </w:p>
    <w:p>
      <w:pPr>
        <w:jc w:val="left"/>
      </w:pPr>
      <w:r>
        <w:rPr>
          <w:rFonts w:ascii="Times New Roman" w:hAnsi="Times New Roman"/>
          <w:b/>
          <w:sz w:val="24"/>
        </w:rPr>
        <w:t>• Latest Funding Round: $80,000,000</w:t>
      </w:r>
    </w:p>
    <w:p>
      <w:pPr>
        <w:jc w:val="left"/>
      </w:pPr>
      <w:r>
        <w:rPr>
          <w:rFonts w:ascii="Times New Roman" w:hAnsi="Times New Roman"/>
          <w:b/>
          <w:sz w:val="24"/>
        </w:rPr>
        <w:t>• Total Funding Raised: $200,000,000</w:t>
      </w:r>
    </w:p>
    <w:p>
      <w:pPr>
        <w:jc w:val="left"/>
      </w:pPr>
      <w:r>
        <w:rPr>
          <w:rFonts w:ascii="Times New Roman" w:hAnsi="Times New Roman"/>
          <w:sz w:val="24"/>
        </w:rPr>
        <w:t>• Series D, 04 January 2022, US$ 80.0M, (1 investors)</w:t>
      </w:r>
    </w:p>
    <w:p>
      <w:pPr>
        <w:jc w:val="left"/>
      </w:pPr>
      <w:r>
        <w:rPr>
          <w:rFonts w:ascii="Times New Roman" w:hAnsi="Times New Roman"/>
          <w:sz w:val="24"/>
        </w:rPr>
        <w:t>• Corporate round, 22 May 2018, US$ 20.0M, (1 investors)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