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 w:val="0"/>
          <w:sz w:val="24"/>
        </w:rPr>
        <w:t>The total addressable market (TAM) for the battery technology sector is currently valued at $160 billion.</w:t>
      </w:r>
    </w:p>
    <w:p>
      <w:r>
        <w:rPr>
          <w:rFonts w:ascii="Times New Roman" w:hAnsi="Times New Roman"/>
          <w:b w:val="0"/>
          <w:sz w:val="24"/>
        </w:rPr>
        <w:t>The Total Addressable Market (TAM) for the battery technology sector is currently valued at $160 billion.</w:t>
      </w:r>
    </w:p>
    <w:p>
      <w:r>
        <w:rPr>
          <w:rFonts w:ascii="Times New Roman" w:hAnsi="Times New Roman"/>
          <w:b w:val="0"/>
          <w:sz w:val="24"/>
        </w:rPr>
        <w:t>The global battery technology market is experiencing rapid growth.</w:t>
      </w:r>
    </w:p>
    <w:p>
      <w:r>
        <w:rPr>
          <w:rFonts w:ascii="Times New Roman" w:hAnsi="Times New Roman"/>
          <w:b w:val="0"/>
          <w:sz w:val="24"/>
        </w:rPr>
        <w:t>The battery technology sector has seen significant growth in recent years.</w:t>
      </w:r>
    </w:p>
    <w:p>
      <w:r>
        <w:rPr>
          <w:rFonts w:ascii="Times New Roman" w:hAnsi="Times New Roman"/>
          <w:b w:val="0"/>
          <w:sz w:val="24"/>
        </w:rPr>
        <w:t>TAM for the Battery Technology sector is estimated at $160 billion.</w:t>
      </w:r>
    </w:p>
    <w:p>
      <w:r>
        <w:rPr>
          <w:rFonts w:ascii="Times New Roman" w:hAnsi="Times New Roman"/>
          <w:b/>
          <w:sz w:val="24"/>
        </w:rPr>
        <w:t>📊 Market Size Metrics</w:t>
      </w:r>
    </w:p>
    <w:p>
      <w:r>
        <w:rPr>
          <w:rFonts w:ascii="Times New Roman" w:hAnsi="Times New Roman"/>
          <w:b/>
          <w:sz w:val="24"/>
        </w:rPr>
        <w:t>📈 Growth Metrics</w:t>
      </w:r>
    </w:p>
    <w:p>
      <w:r>
        <w:rPr>
          <w:rFonts w:ascii="Times New Roman" w:hAnsi="Times New Roman"/>
          <w:b/>
          <w:sz w:val="24"/>
        </w:rPr>
        <w:t>📰 Sector Analysis</w:t>
      </w:r>
    </w:p>
    <w:p>
      <w:r>
        <w:rPr>
          <w:rFonts w:ascii="Times New Roman" w:hAnsi="Times New Roman"/>
          <w:b/>
          <w:sz w:val="24"/>
        </w:rPr>
        <w:t>🔍 Market Research Sources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