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Market Section Formatting Test - StoreDot</w:t>
      </w:r>
    </w:p>
    <w:p>
      <w:pPr>
        <w:spacing w:line="360" w:lineRule="auto"/>
        <w:ind w:firstLine="0"/>
        <w:jc w:val="both"/>
      </w:pPr>
      <w:r>
        <w:rPr>
          <w:rFonts w:ascii="Times New Roman" w:hAnsi="Times New Roman"/>
          <w:b w:val="0"/>
          <w:sz w:val="24"/>
        </w:rPr>
        <w:t>1. DETAILED SUMMARY</w:t>
      </w:r>
    </w:p>
    <w:p>
      <w:pPr>
        <w:spacing w:line="360" w:lineRule="auto"/>
        <w:ind w:firstLine="0"/>
        <w:jc w:val="both"/>
      </w:pPr>
      <w:r>
        <w:rPr>
          <w:rFonts w:ascii="Times New Roman" w:hAnsi="Times New Roman"/>
          <w:b w:val="0"/>
          <w:sz w:val="24"/>
        </w:rPr>
        <w:t>This is a detailed summary of the company.</w:t>
      </w:r>
    </w:p>
    <w:p>
      <w:pPr>
        <w:spacing w:line="360" w:lineRule="auto"/>
        <w:ind w:firstLine="0"/>
        <w:jc w:val="both"/>
      </w:pPr>
      <w:r>
        <w:rPr>
          <w:rFonts w:ascii="Times New Roman" w:hAnsi="Times New Roman"/>
          <w:b w:val="0"/>
          <w:sz w:val="24"/>
        </w:rPr>
        <w:t>2. COMPANY OVERVIEW</w:t>
      </w:r>
    </w:p>
    <w:p>
      <w:pPr>
        <w:spacing w:line="360" w:lineRule="auto"/>
        <w:ind w:firstLine="0"/>
        <w:jc w:val="both"/>
      </w:pPr>
      <w:r>
        <w:rPr>
          <w:rFonts w:ascii="Times New Roman" w:hAnsi="Times New Roman"/>
          <w:b w:val="0"/>
          <w:sz w:val="24"/>
        </w:rPr>
        <w:t>Company: StoreDot</w:t>
      </w:r>
    </w:p>
    <w:p>
      <w:pPr>
        <w:spacing w:line="360" w:lineRule="auto"/>
        <w:ind w:firstLine="0"/>
        <w:jc w:val="both"/>
      </w:pPr>
      <w:r>
        <w:rPr>
          <w:rFonts w:ascii="Times New Roman" w:hAnsi="Times New Roman"/>
          <w:b w:val="0"/>
          <w:sz w:val="24"/>
        </w:rPr>
        <w:t>Sector: Battery Technology</w:t>
      </w:r>
    </w:p>
    <w:p>
      <w:pPr>
        <w:spacing w:line="360" w:lineRule="auto"/>
        <w:ind w:firstLine="0"/>
        <w:jc w:val="both"/>
      </w:pPr>
      <w:r>
        <w:rPr>
          <w:rFonts w:ascii="Times New Roman" w:hAnsi="Times New Roman"/>
          <w:b/>
          <w:sz w:val="24"/>
        </w:rPr>
        <w:t>Team: Doron Myersdorf (CEO)</w:t>
      </w:r>
    </w:p>
    <w:p>
      <w:pPr>
        <w:spacing w:line="360" w:lineRule="auto"/>
        <w:ind w:firstLine="0"/>
        <w:jc w:val="both"/>
      </w:pPr>
      <w:r>
        <w:rPr>
          <w:rFonts w:ascii="Times New Roman" w:hAnsi="Times New Roman"/>
          <w:b w:val="0"/>
          <w:sz w:val="24"/>
        </w:rPr>
        <w:t>Funding Stage: Series A</w:t>
      </w:r>
    </w:p>
    <w:p>
      <w:pPr>
        <w:spacing w:line="360" w:lineRule="auto"/>
        <w:ind w:firstLine="0"/>
        <w:jc w:val="both"/>
      </w:pPr>
      <w:r>
        <w:rPr>
          <w:rFonts w:ascii="Times New Roman" w:hAnsi="Times New Roman"/>
          <w:b w:val="0"/>
          <w:sz w:val="24"/>
        </w:rPr>
        <w:t>3. PROBLEM STATEMENT</w:t>
      </w:r>
    </w:p>
    <w:p>
      <w:pPr>
        <w:spacing w:line="360" w:lineRule="auto"/>
        <w:ind w:firstLine="0"/>
        <w:jc w:val="both"/>
      </w:pPr>
      <w:r>
        <w:rPr>
          <w:rFonts w:ascii="Times New Roman" w:hAnsi="Times New Roman"/>
          <w:b w:val="0"/>
          <w:sz w:val="24"/>
        </w:rPr>
        <w:t>The problem statement goes here.</w:t>
      </w:r>
    </w:p>
    <w:p>
      <w:pPr>
        <w:spacing w:line="360" w:lineRule="auto"/>
        <w:ind w:firstLine="0"/>
        <w:jc w:val="both"/>
      </w:pPr>
      <w:r>
        <w:rPr>
          <w:rFonts w:ascii="Times New Roman" w:hAnsi="Times New Roman"/>
          <w:b w:val="0"/>
          <w:sz w:val="24"/>
        </w:rPr>
        <w:t>4. SOLUTION OVERVIEW</w:t>
      </w:r>
    </w:p>
    <w:p>
      <w:pPr>
        <w:spacing w:line="360" w:lineRule="auto"/>
        <w:ind w:firstLine="0"/>
        <w:jc w:val="both"/>
      </w:pPr>
      <w:r>
        <w:rPr>
          <w:rFonts w:ascii="Times New Roman" w:hAnsi="Times New Roman"/>
          <w:b w:val="0"/>
          <w:sz w:val="24"/>
        </w:rPr>
        <w:t>The solution overview goes here.</w:t>
      </w:r>
    </w:p>
    <w:p>
      <w:pPr>
        <w:spacing w:line="360" w:lineRule="auto"/>
        <w:ind w:firstLine="0"/>
        <w:jc w:val="both"/>
      </w:pPr>
      <w:r>
        <w:rPr>
          <w:rFonts w:ascii="Times New Roman" w:hAnsi="Times New Roman"/>
          <w:b w:val="0"/>
          <w:sz w:val="24"/>
        </w:rPr>
        <w:t>5. PRODUCT/SERVICE DESCRIPTION</w:t>
      </w:r>
    </w:p>
    <w:p>
      <w:pPr>
        <w:spacing w:line="360" w:lineRule="auto"/>
        <w:ind w:firstLine="0"/>
        <w:jc w:val="both"/>
      </w:pPr>
      <w:r>
        <w:rPr>
          <w:rFonts w:ascii="Times New Roman" w:hAnsi="Times New Roman"/>
          <w:b w:val="0"/>
          <w:sz w:val="24"/>
        </w:rPr>
        <w:t>Product description goes here.</w:t>
      </w:r>
    </w:p>
    <w:p>
      <w:pPr>
        <w:spacing w:line="360" w:lineRule="auto"/>
        <w:ind w:firstLine="0"/>
        <w:jc w:val="both"/>
      </w:pPr>
      <w:r>
        <w:rPr>
          <w:rFonts w:ascii="Times New Roman" w:hAnsi="Times New Roman"/>
          <w:b/>
          <w:sz w:val="24"/>
        </w:rPr>
        <w:t>6. MARKET SIZE &amp; ANALYSIS</w:t>
      </w:r>
    </w:p>
    <w:p>
      <w:pPr>
        <w:spacing w:line="360" w:lineRule="auto"/>
        <w:ind w:firstLine="0"/>
        <w:jc w:val="both"/>
      </w:pPr>
      <w:r>
        <w:rPr>
          <w:rFonts w:ascii="Times New Roman" w:hAnsi="Times New Roman"/>
          <w:b w:val="0"/>
          <w:sz w:val="24"/>
        </w:rPr>
        <w:t>The total addressable market (TAM) for the battery technology sector is currently valued at $160 billion. The serviceable available market (SAM) is estimated to be $48 billion, which is a reasonable 30% of the TAM. The sector is experiencing a compound annual growth rate (CAGR) of 15%, indicating a strong growth trajectory. Key market drivers include the increasing demand for electric vehicles and renewable energy storage solutions, both of which heavily rely on advanced battery technologies. The competitive landscape is intense with several major players and constant technological advancements. Opportunities for the company lie in continuous innovation and expanding applications of battery technology, while challenges include intense competition and the need for significant R&amp;D investments.</w:t>
      </w:r>
    </w:p>
    <w:p>
      <w:pPr>
        <w:spacing w:line="360" w:lineRule="auto"/>
        <w:ind w:firstLine="0"/>
        <w:jc w:val="both"/>
      </w:pPr>
      <w:r>
        <w:rPr>
          <w:rFonts w:ascii="Times New Roman" w:hAnsi="Times New Roman"/>
          <w:b/>
          <w:sz w:val="24"/>
        </w:rPr>
        <w:t>📊 Market Size Metrics</w:t>
      </w:r>
    </w:p>
    <w:p>
      <w:pPr>
        <w:spacing w:line="360" w:lineRule="auto"/>
        <w:ind w:firstLine="0"/>
        <w:jc w:val="both"/>
      </w:pPr>
      <w:r>
        <w:rPr>
          <w:rFonts w:ascii="Times New Roman" w:hAnsi="Times New Roman"/>
          <w:b w:val="0"/>
          <w:sz w:val="24"/>
        </w:rPr>
        <w:t>• TAM: $160 billion</w:t>
      </w:r>
    </w:p>
    <w:p>
      <w:pPr>
        <w:spacing w:line="360" w:lineRule="auto"/>
        <w:ind w:firstLine="0"/>
        <w:jc w:val="both"/>
      </w:pPr>
      <w:r>
        <w:rPr>
          <w:rFonts w:ascii="Times New Roman" w:hAnsi="Times New Roman"/>
          <w:b w:val="0"/>
          <w:sz w:val="24"/>
        </w:rPr>
        <w:t>• SAM: $48 billion (30% of TAM)</w:t>
      </w:r>
    </w:p>
    <w:p>
      <w:pPr>
        <w:spacing w:line="360" w:lineRule="auto"/>
        <w:ind w:firstLine="0"/>
        <w:jc w:val="both"/>
      </w:pPr>
      <w:r>
        <w:rPr>
          <w:rFonts w:ascii="Times New Roman" w:hAnsi="Times New Roman"/>
          <w:b w:val="0"/>
          <w:sz w:val="24"/>
        </w:rPr>
        <w:t>• CAGR: 15%</w:t>
      </w:r>
    </w:p>
    <w:p>
      <w:pPr>
        <w:spacing w:line="360" w:lineRule="auto"/>
        <w:ind w:firstLine="0"/>
        <w:jc w:val="both"/>
      </w:pPr>
      <w:r>
        <w:rPr>
          <w:rFonts w:ascii="Times New Roman" w:hAnsi="Times New Roman"/>
          <w:b/>
          <w:sz w:val="24"/>
        </w:rPr>
        <w:t>📈 Growth Metrics</w:t>
      </w:r>
    </w:p>
    <w:p>
      <w:pPr>
        <w:spacing w:line="360" w:lineRule="auto"/>
        <w:ind w:firstLine="0"/>
        <w:jc w:val="both"/>
      </w:pPr>
      <w:r>
        <w:rPr>
          <w:rFonts w:ascii="Times New Roman" w:hAnsi="Times New Roman"/>
          <w:b w:val="0"/>
          <w:sz w:val="24"/>
        </w:rPr>
        <w:t>• Growth drivers: EV demand, renewable energy storage</w:t>
      </w:r>
    </w:p>
    <w:p>
      <w:pPr>
        <w:spacing w:line="360" w:lineRule="auto"/>
        <w:ind w:firstLine="0"/>
        <w:jc w:val="both"/>
      </w:pPr>
      <w:r>
        <w:rPr>
          <w:rFonts w:ascii="Times New Roman" w:hAnsi="Times New Roman"/>
          <w:b w:val="0"/>
          <w:sz w:val="24"/>
        </w:rPr>
        <w:t>• Market penetration: 60%+ by 2030</w:t>
      </w:r>
    </w:p>
    <w:p>
      <w:pPr>
        <w:spacing w:line="360" w:lineRule="auto"/>
        <w:ind w:firstLine="0"/>
        <w:jc w:val="both"/>
      </w:pPr>
      <w:r>
        <w:rPr>
          <w:rFonts w:ascii="Times New Roman" w:hAnsi="Times New Roman"/>
          <w:b w:val="0"/>
          <w:sz w:val="24"/>
        </w:rPr>
        <w:t>• Regional growth: US (60.4%), EU (75.5%), China (63.6%)</w:t>
      </w:r>
    </w:p>
    <w:p>
      <w:pPr>
        <w:spacing w:line="360" w:lineRule="auto"/>
        <w:ind w:firstLine="0"/>
        <w:jc w:val="both"/>
      </w:pPr>
      <w:r>
        <w:rPr>
          <w:rFonts w:ascii="Times New Roman" w:hAnsi="Times New Roman"/>
          <w:b/>
          <w:sz w:val="24"/>
        </w:rPr>
        <w:t>🔍 Market Research Sources</w:t>
      </w:r>
    </w:p>
    <w:p>
      <w:pPr>
        <w:spacing w:line="360" w:lineRule="auto"/>
        <w:ind w:firstLine="0"/>
        <w:jc w:val="both"/>
      </w:pPr>
      <w:r>
        <w:rPr>
          <w:rFonts w:ascii="Times New Roman" w:hAnsi="Times New Roman"/>
          <w:b w:val="0"/>
          <w:sz w:val="24"/>
        </w:rPr>
        <w:t>• UBS Global Electric Vehicle Battery Makers</w:t>
      </w:r>
    </w:p>
    <w:p>
      <w:pPr>
        <w:spacing w:line="360" w:lineRule="auto"/>
        <w:ind w:firstLine="0"/>
        <w:jc w:val="both"/>
      </w:pPr>
      <w:r>
        <w:rPr>
          <w:rFonts w:ascii="Times New Roman" w:hAnsi="Times New Roman"/>
          <w:b w:val="0"/>
          <w:sz w:val="24"/>
        </w:rPr>
        <w:t>• IHS Market Intelligence</w:t>
      </w:r>
    </w:p>
    <w:p>
      <w:pPr>
        <w:spacing w:line="360" w:lineRule="auto"/>
        <w:ind w:firstLine="0"/>
        <w:jc w:val="both"/>
      </w:pPr>
      <w:r>
        <w:rPr>
          <w:rFonts w:ascii="Times New Roman" w:hAnsi="Times New Roman"/>
          <w:b w:val="0"/>
          <w:sz w:val="24"/>
        </w:rPr>
        <w:t>• Industry reports and analyst coverage</w:t>
      </w:r>
    </w:p>
    <w:p>
      <w:pPr>
        <w:spacing w:line="360" w:lineRule="auto"/>
        <w:ind w:firstLine="0"/>
        <w:jc w:val="both"/>
      </w:pPr>
      <w:r>
        <w:rPr>
          <w:rFonts w:ascii="Times New Roman" w:hAnsi="Times New Roman"/>
          <w:b/>
          <w:sz w:val="24"/>
        </w:rPr>
        <w:t>7. COMPETITORS</w:t>
      </w:r>
    </w:p>
    <w:p>
      <w:pPr>
        <w:spacing w:line="360" w:lineRule="auto"/>
        <w:ind w:firstLine="0"/>
        <w:jc w:val="both"/>
      </w:pPr>
      <w:r>
        <w:rPr>
          <w:rFonts w:ascii="Times New Roman" w:hAnsi="Times New Roman"/>
          <w:b w:val="0"/>
          <w:sz w:val="24"/>
        </w:rPr>
        <w:t>Competitive analysis goes here.</w:t>
      </w:r>
    </w:p>
    <w:p>
      <w:pPr>
        <w:spacing w:line="360" w:lineRule="auto"/>
        <w:ind w:firstLine="0"/>
        <w:jc w:val="both"/>
      </w:pPr>
      <w:r>
        <w:rPr>
          <w:rFonts w:ascii="Times New Roman" w:hAnsi="Times New Roman"/>
          <w:b/>
          <w:sz w:val="24"/>
        </w:rPr>
        <w:t>8. BUSINESS MODEL</w:t>
      </w:r>
    </w:p>
    <w:p>
      <w:pPr>
        <w:spacing w:line="360" w:lineRule="auto"/>
        <w:ind w:firstLine="0"/>
        <w:jc w:val="both"/>
      </w:pPr>
      <w:r>
        <w:rPr>
          <w:rFonts w:ascii="Times New Roman" w:hAnsi="Times New Roman"/>
          <w:b w:val="0"/>
          <w:sz w:val="24"/>
        </w:rPr>
        <w:t>Business model description goes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