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6. MARKET SIZE &amp; ANALYSIS</w:t>
      </w:r>
    </w:p>
    <w:p>
      <w:pPr>
        <w:spacing w:line="360" w:lineRule="auto"/>
        <w:ind w:firstLine="0"/>
        <w:jc w:val="both"/>
      </w:pPr>
      <w:r>
        <w:rPr>
          <w:rFonts w:ascii="Times New Roman" w:hAnsi="Times New Roman"/>
          <w:sz w:val="24"/>
        </w:rPr>
        <w:t>The total addressable market (TAM) for battery technology is currently valued at $160 billion. The serviceable available market (SAM) is approximately $48 billion, which is a reasonable 30% of the TAM. The sector is experiencing a compound annual growth rate (CAGR) of 15%, indicating a strong growth trajectory. Key market drivers include increasing demand for electric vehicles, renewable energy storage, and portable electronics, all of which rely heavily on advanced battery technology. The competitive landscape is intense with numerous players investing in R&amp;D to improve battery efficiency, lifespan, and environmental impact. Opportunities for the company lie in capitalizing on these market trends and the growing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