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Market Risks</w:t>
      </w:r>
    </w:p>
    <w:p>
      <w:r>
        <w:rPr>
          <w:rFonts w:ascii="Times New Roman" w:hAnsi="Times New Roman"/>
          <w:b/>
          <w:sz w:val="24"/>
        </w:rPr>
        <w:t>Technical Risks</w:t>
      </w:r>
    </w:p>
    <w:p>
      <w:r>
        <w:rPr>
          <w:rFonts w:ascii="Times New Roman" w:hAnsi="Times New Roman"/>
          <w:b/>
          <w:sz w:val="24"/>
        </w:rPr>
        <w:t>Operational Risks</w:t>
      </w:r>
    </w:p>
    <w:p>
      <w:r>
        <w:rPr>
          <w:rFonts w:ascii="Times New Roman" w:hAnsi="Times New Roman"/>
          <w:b/>
          <w:sz w:val="24"/>
        </w:rPr>
        <w:t>Regulatory Risks</w:t>
      </w:r>
    </w:p>
    <w:p>
      <w:r>
        <w:rPr>
          <w:rFonts w:ascii="Times New Roman" w:hAnsi="Times New Roman"/>
          <w:b/>
          <w:sz w:val="24"/>
        </w:rPr>
        <w:t>Financial Risks</w:t>
      </w:r>
    </w:p>
    <w:p>
      <w:r>
        <w:rPr>
          <w:rFonts w:ascii="Times New Roman" w:hAnsi="Times New Roman"/>
          <w:b/>
          <w:sz w:val="24"/>
        </w:rPr>
        <w:t>Strategic Risks</w:t>
      </w:r>
    </w:p>
    <w:p>
      <w:r>
        <w:rPr>
          <w:rFonts w:ascii="Times New Roman" w:hAnsi="Times New Roman"/>
          <w:b/>
          <w:sz w:val="24"/>
        </w:rPr>
        <w:t>Competitive Risks</w:t>
      </w:r>
    </w:p>
    <w:p>
      <w:r>
        <w:rPr>
          <w:rFonts w:ascii="Times New Roman" w:hAnsi="Times New Roman"/>
          <w:b/>
          <w:sz w:val="24"/>
        </w:rPr>
        <w:t>Technology Risks</w:t>
      </w:r>
    </w:p>
    <w:p>
      <w:r>
        <w:rPr>
          <w:rFonts w:ascii="Times New Roman" w:hAnsi="Times New Roman"/>
          <w:b/>
          <w:sz w:val="24"/>
        </w:rPr>
        <w:t>Execution Risks</w:t>
      </w:r>
    </w:p>
    <w:p>
      <w:r>
        <w:rPr>
          <w:rFonts w:ascii="Times New Roman" w:hAnsi="Times New Roman"/>
          <w:sz w:val="24"/>
        </w:rPr>
        <w:t>• Market Adoption Uncertainty: StoreDot's technology is in the early prototype stage</w:t>
      </w:r>
    </w:p>
    <w:p>
      <w:r>
        <w:rPr>
          <w:rFonts w:ascii="Times New Roman" w:hAnsi="Times New Roman"/>
          <w:sz w:val="24"/>
        </w:rPr>
        <w:t>• Technology Maturity Uncertainty: StoreDot's technology is described as an early-stage prototype</w:t>
      </w:r>
    </w:p>
    <w:p>
      <w:r>
        <w:rPr>
          <w:rFonts w:ascii="Times New Roman" w:hAnsi="Times New Roman"/>
          <w:sz w:val="24"/>
        </w:rPr>
        <w:t>• Manufacturing Scalability Challenges: The transition from prototype to mass production</w:t>
      </w:r>
    </w:p>
    <w:p>
      <w:r>
        <w:rPr>
          <w:rFonts w:ascii="Times New Roman" w:hAnsi="Times New Roman"/>
          <w:sz w:val="24"/>
        </w:rPr>
        <w:t>• Compliance with Safety Standards: StoreDot may need to navigate complex safety regulations</w:t>
      </w:r>
    </w:p>
    <w:p>
      <w:r>
        <w:rPr>
          <w:rFonts w:ascii="Times New Roman" w:hAnsi="Times New Roman"/>
          <w:sz w:val="24"/>
        </w:rPr>
        <w:t>• Unknown Funding Stage: The current funding stage of StoreDot is unclear</w:t>
      </w:r>
    </w:p>
    <w:p>
      <w:r>
        <w:rPr>
          <w:rFonts w:ascii="Times New Roman" w:hAnsi="Times New Roman"/>
          <w:sz w:val="24"/>
        </w:rPr>
        <w:t>• Performance and Reliability Concerns: As the technology is still in the prototype phase</w:t>
      </w:r>
    </w:p>
    <w:p>
      <w:r>
        <w:rPr>
          <w:rFonts w:ascii="Times New Roman" w:hAnsi="Times New Roman"/>
          <w:sz w:val="24"/>
        </w:rPr>
        <w:t>• Supply Chain Vulnerabilities: The production of advanced battery technologies often requires specific raw materials</w:t>
      </w:r>
    </w:p>
    <w:p>
      <w:r>
        <w:rPr>
          <w:rFonts w:ascii="Times New Roman" w:hAnsi="Times New Roman"/>
          <w:sz w:val="24"/>
        </w:rPr>
        <w:t>• Environmental Regulations: Battery disposal and recycling are subject to stringent environmental regulations</w:t>
      </w:r>
    </w:p>
    <w:p>
      <w:r>
        <w:rPr>
          <w:rFonts w:ascii="Times New Roman" w:hAnsi="Times New Roman"/>
          <w:sz w:val="24"/>
        </w:rPr>
        <w:t>• Lack of Revenue Data: The absence of revenue data makes it difficult to evaluate StoreDot's financial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