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15, 2025 at 07:18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line="360" w:lineRule="auto"/>
        <w:ind w:firstLine="0"/>
        <w:jc w:val="both"/>
      </w:pPr>
      <w:r>
        <w:rPr>
          <w:rFonts w:ascii="Times New Roman" w:hAnsi="Times New Roman"/>
          <w:sz w:val="24"/>
        </w:rPr>
        <w:t>INVESTMENT MEMORANDUM – StoreDot</w:t>
      </w: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founded by Doron Myersdorf, DSc,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unknown</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Doron Myersdorf, DSc</w:t>
      </w:r>
    </w:p>
    <w:p>
      <w:pPr>
        <w:spacing w:line="360" w:lineRule="auto"/>
        <w:ind w:firstLine="0"/>
        <w:jc w:val="both"/>
      </w:pPr>
      <w:r>
        <w:rPr>
          <w:rFonts w:ascii="Times New Roman" w:hAnsi="Times New Roman"/>
          <w:sz w:val="24"/>
        </w:rPr>
        <w:t>No LinkedIn profile found.</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before="240" w:line="360" w:lineRule="auto" w:after="120"/>
        <w:ind w:firstLine="0"/>
        <w:jc w:val="both"/>
      </w:pPr>
      <w:r>
        <w:rPr>
          <w:rFonts w:ascii="Times New Roman" w:hAnsi="Times New Roman"/>
          <w:b/>
          <w:sz w:val="24"/>
        </w:rPr>
        <w:t>5. MARKET SIZE &amp; ANALYSIS</w:t>
      </w:r>
    </w:p>
    <w:p>
      <w:pPr>
        <w:spacing w:line="360" w:lineRule="auto"/>
        <w:ind w:firstLine="0"/>
        <w:jc w:val="both"/>
      </w:pPr>
      <w:r>
        <w:rPr>
          <w:rFonts w:ascii="Times New Roman" w:hAnsi="Times New Roman"/>
          <w:sz w:val="24"/>
        </w:rPr>
        <w:t>TAM None, SAM None, SOM None; Market Penetration: 0.0 %</w:t>
      </w:r>
    </w:p>
    <w:p>
      <w:pPr>
        <w:spacing w:line="360" w:lineRule="auto"/>
        <w:ind w:firstLine="0"/>
        <w:jc w:val="both"/>
      </w:pPr>
      <w:r>
        <w:rPr>
          <w:rFonts w:ascii="Times New Roman" w:hAnsi="Times New Roman"/>
          <w:sz w:val="24"/>
        </w:rPr>
        <w:t>Growth is driven by increasing EV adoption, regulatory mandates for clean energy, and advances in battery technology. Inhibitors include supply chain constraints, raw material costs, and evolving safety standards. Key opportunities include first-mover advantage, strategic partnerships, and addressing unmet needs in fast-charging and energy density. Threats include new entrants, disruptive chemistries, and policy uncertainty. SOM is based on company projections and may require independent validation. (Market size is based on company materials; independent verification recommended.)</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6. COMPETITORS</w:t>
      </w:r>
    </w:p>
    <w:p>
      <w:pPr>
        <w:spacing w:line="360" w:lineRule="auto"/>
        <w:ind w:firstLine="0"/>
        <w:jc w:val="both"/>
      </w:pPr>
      <w:r>
        <w:rPr>
          <w:rFonts w:ascii="Times New Roman" w:hAnsi="Times New Roman"/>
          <w:sz w:val="24"/>
        </w:rPr>
        <w:t>• QuantumScape</w:t>
      </w:r>
    </w:p>
    <w:p>
      <w:pPr>
        <w:spacing w:line="360" w:lineRule="auto"/>
        <w:ind w:firstLine="0"/>
        <w:jc w:val="both"/>
      </w:pPr>
      <w:r>
        <w:rPr>
          <w:rFonts w:ascii="Times New Roman" w:hAnsi="Times New Roman"/>
          <w:sz w:val="24"/>
        </w:rPr>
        <w:t>• Differentiator: Their proprietary solidstate separator technology enables high energy density and fast charging without dendrite formation, positioning them as a leader in nextgeneration battery tech.</w:t>
      </w:r>
    </w:p>
    <w:p>
      <w:pPr>
        <w:spacing w:line="360" w:lineRule="auto"/>
        <w:ind w:firstLine="0"/>
        <w:jc w:val="both"/>
      </w:pPr>
      <w:r>
        <w:rPr>
          <w:rFonts w:ascii="Times New Roman" w:hAnsi="Times New Roman"/>
          <w:sz w:val="24"/>
        </w:rPr>
        <w:t>• Sila Nanotechnologies</w:t>
      </w:r>
    </w:p>
    <w:p>
      <w:pPr>
        <w:spacing w:line="360" w:lineRule="auto"/>
        <w:ind w:firstLine="0"/>
        <w:jc w:val="both"/>
      </w:pPr>
      <w:r>
        <w:rPr>
          <w:rFonts w:ascii="Times New Roman" w:hAnsi="Times New Roman"/>
          <w:sz w:val="24"/>
        </w:rPr>
        <w:t>• Differentiator: Their patented silicondominant anode materials significantly increase battery capacity and charging speed while maintaining compatibility with existing lithiumion battery manufacturing processes.</w:t>
      </w:r>
    </w:p>
    <w:p>
      <w:pPr>
        <w:spacing w:line="360" w:lineRule="auto"/>
        <w:ind w:firstLine="0"/>
        <w:jc w:val="both"/>
      </w:pPr>
      <w:r>
        <w:rPr>
          <w:rFonts w:ascii="Times New Roman" w:hAnsi="Times New Roman"/>
          <w:sz w:val="24"/>
        </w:rPr>
        <w:t>• Solid Power</w:t>
      </w:r>
    </w:p>
    <w:p>
      <w:pPr>
        <w:spacing w:line="360" w:lineRule="auto"/>
        <w:ind w:firstLine="0"/>
        <w:jc w:val="both"/>
      </w:pPr>
      <w:r>
        <w:rPr>
          <w:rFonts w:ascii="Times New Roman" w:hAnsi="Times New Roman"/>
          <w:sz w:val="24"/>
        </w:rPr>
        <w:t>• Differentiator: Their focus on sulfide solid electrolytes offers a balance of performance, manufacturability, and cost, aiming to overcome limitations of current lithiumion batteries.</w:t>
      </w:r>
    </w:p>
    <w:p>
      <w:pPr>
        <w:spacing w:before="240" w:line="360" w:lineRule="auto" w:after="120"/>
        <w:ind w:firstLine="0"/>
        <w:jc w:val="both"/>
      </w:pPr>
      <w:r>
        <w:rPr>
          <w:rFonts w:ascii="Times New Roman" w:hAnsi="Times New Roman"/>
          <w:b/>
          <w:sz w:val="24"/>
        </w:rPr>
        <w:t>7. BUSINESS MODEL</w:t>
      </w:r>
    </w:p>
    <w:p>
      <w:pPr>
        <w:spacing w:line="360" w:lineRule="auto"/>
        <w:ind w:firstLine="0"/>
        <w:jc w:val="both"/>
      </w:pPr>
      <w:r>
        <w:rPr>
          <w:rFonts w:ascii="Times New Roman" w:hAnsi="Times New Roman"/>
          <w:sz w:val="24"/>
        </w:rPr>
        <w:t>StoreDot is developing extreme fast charging (XFC) lithium-ion battery technology aimed at overcoming key EV adoption barriers such as long charging times and charging anxiety. Their proprietary silicon-dominant anode batteries can charge 100 miles of range in 5 minutes, with commercial readiness targeted for 2025 and ongoing testing with over 15 OEMs and manufacturing partners. The business model centers on licensing their scalable, drop-in compatible battery technology to existing lithium-ion manufacturers and OEMs, targeting mass-market EV segments in the US, EU, and China where BEV penetration is expected to exceed 60% by 2030. StoreDot’s go-to-market strategy leverages its strong patent portfolio and industry partnerships to embed its technology into EV supply chains, addressing the critical need for fast, reliable charging infrastructure. The technology’s compatibility with current manufacturing lines and competitive cost structure support scalability, positioning StoreDot as a leader ahead of emerging solid-state battery competitors. No recent pivots were identified; the company remains focused on commercializing its 100in5 XFC battery cells by 2025.</w:t>
      </w:r>
    </w:p>
    <w:p>
      <w:pPr>
        <w:spacing w:line="360" w:lineRule="auto"/>
        <w:ind w:firstLine="0"/>
        <w:jc w:val="both"/>
      </w:pPr>
      <w:r>
        <w:rPr>
          <w:rFonts w:ascii="Times New Roman" w:hAnsi="Times New Roman"/>
          <w:sz w:val="24"/>
        </w:rPr>
        <w:t>Sources: StoreDot April 2023 Corporate Overview; UBS Global EV Battery Makers report (cited in materials).</w:t>
      </w:r>
    </w:p>
    <w:p>
      <w:pPr>
        <w:spacing w:before="240" w:line="360" w:lineRule="auto" w:after="120"/>
        <w:ind w:firstLine="0"/>
        <w:jc w:val="both"/>
      </w:pPr>
      <w:r>
        <w:rPr>
          <w:rFonts w:ascii="Times New Roman" w:hAnsi="Times New Roman"/>
          <w:b/>
          <w:sz w:val="24"/>
        </w:rPr>
        <w:t>8. TECHNICAL DUE DILIGENCE</w:t>
      </w:r>
    </w:p>
    <w:p>
      <w:pPr>
        <w:spacing w:line="360" w:lineRule="auto"/>
        <w:ind w:firstLine="0"/>
        <w:jc w:val="both"/>
      </w:pPr>
      <w:r>
        <w:rPr>
          <w:rFonts w:ascii="Times New Roman" w:hAnsi="Times New Roman"/>
          <w:sz w:val="24"/>
        </w:rPr>
        <w:t>• Technical Feasibility and Performance: N/A.</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9. PRODUCT/SERVICE DESCRIPTION</w:t>
      </w:r>
    </w:p>
    <w:p>
      <w:pPr>
        <w:spacing w:line="360" w:lineRule="auto"/>
        <w:ind w:firstLine="0"/>
        <w:jc w:val="both"/>
      </w:pPr>
      <w:r>
        <w:rPr>
          <w:rFonts w:ascii="Times New Roman" w:hAnsi="Times New Roman"/>
          <w:sz w:val="24"/>
        </w:rPr>
        <w:t>StoreDot is pioneering a breakthrough in battery technology with its extreme fast charging (XFC) lithium-ion batteries, designed to significantly reduce charging times and alleviate charging anxiety for electric vehicle (EV) users. The company's silicon-dominant anode batteries promise to deliver 100 miles of range in just 5 minutes, with a target for commercial readiness by 2025. StoreDot's business model focuses on licensing its technology to existing lithium-ion manufacturers and OEMs, aiming to penetrate mass-market EV segments across the US, EU, and China.</w:t>
      </w:r>
    </w:p>
    <w:p>
      <w:pPr>
        <w:spacing w:line="360" w:lineRule="auto"/>
        <w:ind w:firstLine="0"/>
        <w:jc w:val="both"/>
      </w:pPr>
      <w:r>
        <w:rPr>
          <w:rFonts w:ascii="Times New Roman" w:hAnsi="Times New Roman"/>
          <w:sz w:val="24"/>
        </w:rPr>
        <w:t>• Key Features and Functionality:</w:t>
      </w:r>
    </w:p>
    <w:p>
      <w:pPr>
        <w:spacing w:line="360" w:lineRule="auto"/>
        <w:ind w:firstLine="0"/>
        <w:jc w:val="both"/>
      </w:pPr>
      <w:r>
        <w:rPr>
          <w:rFonts w:ascii="Times New Roman" w:hAnsi="Times New Roman"/>
          <w:sz w:val="24"/>
        </w:rPr>
        <w:t>• Silicondominant anode technology for rapid charging.</w:t>
      </w:r>
    </w:p>
    <w:p>
      <w:pPr>
        <w:spacing w:line="360" w:lineRule="auto"/>
        <w:ind w:firstLine="0"/>
        <w:jc w:val="both"/>
      </w:pPr>
      <w:r>
        <w:rPr>
          <w:rFonts w:ascii="Times New Roman" w:hAnsi="Times New Roman"/>
          <w:sz w:val="24"/>
        </w:rPr>
        <w:t>• Ability to charge 100 miles of range in 5 minutes.</w:t>
      </w:r>
    </w:p>
    <w:p>
      <w:pPr>
        <w:spacing w:line="360" w:lineRule="auto"/>
        <w:ind w:firstLine="0"/>
        <w:jc w:val="both"/>
      </w:pPr>
      <w:r>
        <w:rPr>
          <w:rFonts w:ascii="Times New Roman" w:hAnsi="Times New Roman"/>
          <w:sz w:val="24"/>
        </w:rPr>
        <w:t>• Dropin compatibility with existing lithiumion manufacturing lines.</w:t>
      </w:r>
    </w:p>
    <w:p>
      <w:pPr>
        <w:spacing w:line="360" w:lineRule="auto"/>
        <w:ind w:firstLine="0"/>
        <w:jc w:val="both"/>
      </w:pPr>
      <w:r>
        <w:rPr>
          <w:rFonts w:ascii="Times New Roman" w:hAnsi="Times New Roman"/>
          <w:sz w:val="24"/>
        </w:rPr>
        <w:t>• Licensing model for scalability and widespread adoption.</w:t>
      </w:r>
    </w:p>
    <w:p>
      <w:pPr>
        <w:spacing w:line="360" w:lineRule="auto"/>
        <w:ind w:firstLine="0"/>
        <w:jc w:val="both"/>
      </w:pPr>
      <w:r>
        <w:rPr>
          <w:rFonts w:ascii="Times New Roman" w:hAnsi="Times New Roman"/>
          <w:sz w:val="24"/>
        </w:rPr>
        <w:t>• Performance and Scalability:</w:t>
      </w:r>
    </w:p>
    <w:p>
      <w:pPr>
        <w:spacing w:line="360" w:lineRule="auto"/>
        <w:ind w:firstLine="0"/>
        <w:jc w:val="both"/>
      </w:pPr>
      <w:r>
        <w:rPr>
          <w:rFonts w:ascii="Times New Roman" w:hAnsi="Times New Roman"/>
          <w:sz w:val="24"/>
        </w:rPr>
        <w:t>• Designed to overcome EV adoption barriers such as long charging times.</w:t>
      </w:r>
    </w:p>
    <w:p>
      <w:pPr>
        <w:spacing w:line="360" w:lineRule="auto"/>
        <w:ind w:firstLine="0"/>
        <w:jc w:val="both"/>
      </w:pPr>
      <w:r>
        <w:rPr>
          <w:rFonts w:ascii="Times New Roman" w:hAnsi="Times New Roman"/>
          <w:sz w:val="24"/>
        </w:rPr>
        <w:t>• Competitive cost structure supports scalability.</w:t>
      </w:r>
    </w:p>
    <w:p>
      <w:pPr>
        <w:spacing w:line="360" w:lineRule="auto"/>
        <w:ind w:firstLine="0"/>
        <w:jc w:val="both"/>
      </w:pPr>
      <w:r>
        <w:rPr>
          <w:rFonts w:ascii="Times New Roman" w:hAnsi="Times New Roman"/>
          <w:sz w:val="24"/>
        </w:rPr>
        <w:t>• Targeted for massmarket EV segments with expected high penetration rates.</w:t>
      </w:r>
    </w:p>
    <w:p>
      <w:pPr>
        <w:spacing w:line="360" w:lineRule="auto"/>
        <w:ind w:firstLine="0"/>
        <w:jc w:val="both"/>
      </w:pPr>
      <w:r>
        <w:rPr>
          <w:rFonts w:ascii="Times New Roman" w:hAnsi="Times New Roman"/>
          <w:sz w:val="24"/>
        </w:rPr>
        <w:t>• Extensibility and Integration:</w:t>
      </w:r>
    </w:p>
    <w:p>
      <w:pPr>
        <w:spacing w:line="360" w:lineRule="auto"/>
        <w:ind w:firstLine="0"/>
        <w:jc w:val="both"/>
      </w:pPr>
      <w:r>
        <w:rPr>
          <w:rFonts w:ascii="Times New Roman" w:hAnsi="Times New Roman"/>
          <w:sz w:val="24"/>
        </w:rPr>
        <w:t>• Compatible with current manufacturing infrastructure, facilitating easy integration.</w:t>
      </w:r>
    </w:p>
    <w:p>
      <w:pPr>
        <w:spacing w:line="360" w:lineRule="auto"/>
        <w:ind w:firstLine="0"/>
        <w:jc w:val="both"/>
      </w:pPr>
      <w:r>
        <w:rPr>
          <w:rFonts w:ascii="Times New Roman" w:hAnsi="Times New Roman"/>
          <w:sz w:val="24"/>
        </w:rPr>
        <w:t>• Strong patent portfolio to support technology embedding in EV supply chains.</w:t>
      </w:r>
    </w:p>
    <w:p>
      <w:pPr>
        <w:spacing w:line="360" w:lineRule="auto"/>
        <w:ind w:firstLine="0"/>
        <w:jc w:val="both"/>
      </w:pPr>
      <w:r>
        <w:rPr>
          <w:rFonts w:ascii="Times New Roman" w:hAnsi="Times New Roman"/>
          <w:sz w:val="24"/>
        </w:rPr>
        <w:t>• Ongoing testing with over 15 OEMs and manufacturing partners.</w:t>
      </w:r>
    </w:p>
    <w:p>
      <w:pPr>
        <w:spacing w:line="360" w:lineRule="auto"/>
        <w:ind w:firstLine="0"/>
        <w:jc w:val="both"/>
      </w:pPr>
      <w:r>
        <w:rPr>
          <w:rFonts w:ascii="Times New Roman" w:hAnsi="Times New Roman"/>
          <w:sz w:val="24"/>
        </w:rPr>
        <w:t>• OpenSource/Community Aspects:</w:t>
      </w:r>
    </w:p>
    <w:p>
      <w:pPr>
        <w:spacing w:line="360" w:lineRule="auto"/>
        <w:ind w:firstLine="0"/>
        <w:jc w:val="both"/>
      </w:pPr>
      <w:r>
        <w:rPr>
          <w:rFonts w:ascii="Times New Roman" w:hAnsi="Times New Roman"/>
          <w:sz w:val="24"/>
        </w:rPr>
        <w:t>• Not applicable or not provided in the context.</w:t>
      </w:r>
    </w:p>
    <w:p>
      <w:pPr>
        <w:spacing w:line="360" w:lineRule="auto"/>
        <w:ind w:firstLine="0"/>
        <w:jc w:val="both"/>
      </w:pPr>
      <w:r>
        <w:rPr>
          <w:rFonts w:ascii="Times New Roman" w:hAnsi="Times New Roman"/>
          <w:sz w:val="24"/>
        </w:rPr>
        <w:t>• Product Roadmap:</w:t>
      </w:r>
    </w:p>
    <w:p>
      <w:pPr>
        <w:spacing w:line="360" w:lineRule="auto"/>
        <w:ind w:firstLine="0"/>
        <w:jc w:val="both"/>
      </w:pPr>
      <w:r>
        <w:rPr>
          <w:rFonts w:ascii="Times New Roman" w:hAnsi="Times New Roman"/>
          <w:sz w:val="24"/>
        </w:rPr>
        <w:t>• Commercial readiness targeted for 2025.</w:t>
      </w:r>
    </w:p>
    <w:p>
      <w:pPr>
        <w:spacing w:line="360" w:lineRule="auto"/>
        <w:ind w:firstLine="0"/>
        <w:jc w:val="both"/>
      </w:pPr>
      <w:r>
        <w:rPr>
          <w:rFonts w:ascii="Times New Roman" w:hAnsi="Times New Roman"/>
          <w:sz w:val="24"/>
        </w:rPr>
        <w:t>• Focused on commercializing 100in5 XFC battery cells.</w:t>
      </w:r>
    </w:p>
    <w:p>
      <w:pPr>
        <w:spacing w:line="360" w:lineRule="auto"/>
        <w:ind w:firstLine="0"/>
        <w:jc w:val="both"/>
      </w:pPr>
      <w:r>
        <w:rPr>
          <w:rFonts w:ascii="Times New Roman" w:hAnsi="Times New Roman"/>
          <w:sz w:val="24"/>
        </w:rPr>
        <w:t>Differentiation from Competitors:</w:t>
      </w:r>
    </w:p>
    <w:p>
      <w:pPr>
        <w:spacing w:line="360" w:lineRule="auto"/>
        <w:ind w:firstLine="0"/>
        <w:jc w:val="both"/>
      </w:pPr>
      <w:r>
        <w:rPr>
          <w:rFonts w:ascii="Times New Roman" w:hAnsi="Times New Roman"/>
          <w:sz w:val="24"/>
        </w:rPr>
        <w:t>StoreDot's technology is distinguished by its extreme fast charging capability, which is a significant improvement over current lithium-ion batteries and a key differentiator from emerging solid-state battery technologies. The company's strategy of leveraging existing manufacturing lines and its competitive cost structure positions it favorably against competitors.</w:t>
      </w:r>
    </w:p>
    <w:p>
      <w:pPr>
        <w:spacing w:line="360" w:lineRule="auto"/>
        <w:ind w:firstLine="0"/>
        <w:jc w:val="both"/>
      </w:pPr>
      <w:r>
        <w:rPr>
          <w:rFonts w:ascii="Times New Roman" w:hAnsi="Times New Roman"/>
          <w:sz w:val="24"/>
        </w:rPr>
        <w:t>Critical Evaluation:</w:t>
      </w:r>
    </w:p>
    <w:p>
      <w:pPr>
        <w:spacing w:line="360" w:lineRule="auto"/>
        <w:ind w:firstLine="0"/>
        <w:jc w:val="both"/>
      </w:pPr>
      <w:r>
        <w:rPr>
          <w:rFonts w:ascii="Times New Roman" w:hAnsi="Times New Roman"/>
          <w:sz w:val="24"/>
        </w:rPr>
        <w:t>StoreDot's approach to addressing EV charging challenges is compelling, particularly with its focus on rapid charging and compatibility with existing manufacturing processes. However, the memorandum lacks detailed information on specific product specs, cycle life, and performance metrics, which are crucial for assessing long-term viability and competitiveness. Additionally, while the company has a clear roadmap and strong industry partnerships, the absence of recent pivots or adaptations raises questions about its responsiveness to potential market shifts or technological advancements.</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15, 2025.</w:t>
      </w:r>
    </w:p>
    <w:p>
      <w:pPr>
        <w:spacing w:line="360" w:lineRule="auto"/>
        <w:ind w:firstLine="0"/>
        <w:jc w:val="both"/>
      </w:pPr>
      <w:r>
        <w:rPr>
          <w:rFonts w:ascii="Times New Roman" w:hAnsi="Times New Roman"/>
          <w:sz w:val="24"/>
        </w:rPr>
        <w:t>Potential revenue/valuation projections unavailable due to missing SOM.</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The leadership team at StoreDot is composed of seasoned professionals with extensive experience in the technology and automotive sectors. Their combined expertise is pivotal to the company's mission of pioneering extreme fast-charging battery technology for electric vehicles. Below is an analysis of the key team members:</w:t>
      </w:r>
    </w:p>
    <w:p>
      <w:pPr>
        <w:spacing w:line="360" w:lineRule="auto"/>
        <w:ind w:firstLine="0"/>
        <w:jc w:val="both"/>
      </w:pPr>
      <w:r>
        <w:rPr>
          <w:rFonts w:ascii="Times New Roman" w:hAnsi="Times New Roman"/>
          <w:sz w:val="24"/>
        </w:rPr>
        <w:t>Doron Myersdorf, DSc -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Bio: Doron Myersdorf is the Founder and CEO of StoreDot, where he leads the charge in developing cuttingedge fastcharging battery solutions for electric vehicles. Prior to StoreDot, he was a Senior Director at SanDisk, where he successfully established the SSD Business Unit in Israel, achieving over $100 million in revenue within three years. His earlier roles include VP Flash and Operations at msystems, where he managed strategic sourcing and contributed to annual revenues exceeding $1.5 billion. Myersdorf's entrepreneurial spirit is further evidenced by his founding roles at InnerPresence and Siftology. He holds a DSc in R&amp;D Management from the Technion – Israel Institute of Technology, underscoring his strong academic foundation in technology management.</w:t>
      </w:r>
    </w:p>
    <w:p>
      <w:pPr>
        <w:spacing w:line="360" w:lineRule="auto"/>
        <w:ind w:firstLine="0"/>
        <w:jc w:val="both"/>
      </w:pPr>
      <w:r>
        <w:rPr>
          <w:rFonts w:ascii="Times New Roman" w:hAnsi="Times New Roman"/>
          <w:sz w:val="24"/>
        </w:rPr>
        <w:t>• Critical Analysis: Myersdorf's track record demonstrates a strong blend of technical acumen and business leadership, essential for steering StoreDot in a competitive market. His experience in scaling businesses and driving significant revenue growth is a valuable asset. However, the challenge remains in translating this expertise into sustained commercial success for StoreDot's innovative technology.</w:t>
      </w:r>
    </w:p>
    <w:p>
      <w:pPr>
        <w:spacing w:line="360" w:lineRule="auto"/>
        <w:ind w:firstLine="0"/>
        <w:jc w:val="both"/>
      </w:pPr>
      <w:r>
        <w:rPr>
          <w:rFonts w:ascii="Times New Roman" w:hAnsi="Times New Roman"/>
          <w:sz w:val="24"/>
        </w:rPr>
        <w:t>Meir Halberstam - Chief Financial Officer</w:t>
      </w:r>
    </w:p>
    <w:p>
      <w:pPr>
        <w:spacing w:line="360" w:lineRule="auto"/>
        <w:ind w:firstLine="0"/>
        <w:jc w:val="both"/>
      </w:pPr>
      <w:r>
        <w:rPr>
          <w:rFonts w:ascii="Times New Roman" w:hAnsi="Times New Roman"/>
          <w:sz w:val="24"/>
        </w:rPr>
        <w:t>• LinkedIn: [Meir Halberstam](https://www.linkedin.com/in/meirhalberstamb986a117)</w:t>
      </w:r>
    </w:p>
    <w:p>
      <w:pPr>
        <w:spacing w:line="360" w:lineRule="auto"/>
        <w:ind w:firstLine="0"/>
        <w:jc w:val="both"/>
      </w:pPr>
      <w:r>
        <w:rPr>
          <w:rFonts w:ascii="Times New Roman" w:hAnsi="Times New Roman"/>
          <w:sz w:val="24"/>
        </w:rPr>
        <w:t>• Bio: Meir Halberstam serves as the Chief Financial Officer at StoreDot, bringing a wealth of experience in financial management within the global technology sector. His previous roles include CFO at Broadcom Israel, where he played a key role in mergers and acquisitions, and CFO EMEA at Convergys for a decade. Notably, as VP of Finance at Radview Software, he guided the company from its seed stage to a successful IPO on NASDAQ. Halberstam is an Israeli certified public accountant with degrees in economics and accounting from BarIlan University.</w:t>
      </w:r>
    </w:p>
    <w:p>
      <w:pPr>
        <w:spacing w:line="360" w:lineRule="auto"/>
        <w:ind w:firstLine="0"/>
        <w:jc w:val="both"/>
      </w:pPr>
      <w:r>
        <w:rPr>
          <w:rFonts w:ascii="Times New Roman" w:hAnsi="Times New Roman"/>
          <w:sz w:val="24"/>
        </w:rPr>
        <w:t>• Critical Analysis: Halberstam's extensive experience in financial leadership and IPO execution positions him well to navigate StoreDot's financial strategy and potential future public offerings. His background in both large corporations and startups provides a balanced perspective, though his ability to manage the financial complexities of a highgrowth tech company like StoreDot will be crucial.</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 CarlPeter Forster is the Chairman of StoreDot, leveraging over 27 years of experience in the automotive industry. He also serves as Chairman of Vesuvius plc and Senior Independent Director at Babcock International. His past executive roles include Group CEO and Managing Director of Tata Motors, where he oversaw operations including Jaguar Land Rover, and President of General Motors Europe. Forster's career began with senior roles at BMW, highlighting his deeprooted expertise in automotive leadership.</w:t>
      </w:r>
    </w:p>
    <w:p>
      <w:pPr>
        <w:spacing w:line="360" w:lineRule="auto"/>
        <w:ind w:firstLine="0"/>
        <w:jc w:val="both"/>
      </w:pPr>
      <w:r>
        <w:rPr>
          <w:rFonts w:ascii="Times New Roman" w:hAnsi="Times New Roman"/>
          <w:sz w:val="24"/>
        </w:rPr>
        <w:t>• Critical Analysis: Forster's extensive leadership experience in the automotive sector is highly relevant to StoreDot's focus on electric vehicle battery technology. His strategic insights and industry connections are invaluable for StoreDot's market positioning and partnership development. However, his ability to effectively translate this experience into actionable strategies for a technologydriven company remains to be fully demonstrated.</w:t>
      </w:r>
    </w:p>
    <w:p>
      <w:pPr>
        <w:spacing w:line="360" w:lineRule="auto"/>
        <w:ind w:firstLine="0"/>
        <w:jc w:val="both"/>
      </w:pPr>
      <w:r>
        <w:rPr>
          <w:rFonts w:ascii="Times New Roman" w:hAnsi="Times New Roman"/>
          <w:sz w:val="24"/>
        </w:rPr>
        <w:t>Overall, StoreDot's executive team is well-equipped with diverse expertise and a strong track record of leadership in relevant industries. Their collective experience will be instrumental in driving the company's growth and achieving its ambitious goals in the fast-evolving battery technology sector.</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is an advanced battery technology startup focused on extreme fast charging (XFC) solutions to accelerate electric vehicle (EV) adoption by addressing key barriers such as charging speed and infrastructure limitations. Their technology promises significantly faster charging (charging 100 miles in 5 minutes), long cycle life (&gt;1200 XFC cycles without degradation), and compatibility with existing lithium-ion manufacturing, supporting scalability and cost-effectiveness. ESG considerations include a sustainability focus via cobalt content reduction and a semi-solid, dry production approach, which may reduce environmental impact compared to traditional batteries. Socially, StoreDot’s innovation targets reducing "charging anxiety," potentially enhancing EV user experience and accelerating clean transportation adoption, contributing to lower emissions. Governance appears strong with an experienced leadership team and advisory board from automotive and battery sectors, although detailed governance policies and regulatory compliance specifics are not provided. No recent ESG controversies or negative news were found in available sources. Further data on supply chain labor practices, lifecycle environmental impact assessments, and detailed governance disclosures would enhance the ESG evaluation.</w:t>
      </w:r>
    </w:p>
    <w:p>
      <w:pPr>
        <w:spacing w:line="360" w:lineRule="auto"/>
        <w:ind w:firstLine="0"/>
        <w:jc w:val="both"/>
      </w:pPr>
      <w:r>
        <w:rPr>
          <w:rFonts w:ascii="Times New Roman" w:hAnsi="Times New Roman"/>
          <w:sz w:val="24"/>
        </w:rPr>
        <w:t>Sources: StoreDot corporate overview (April 2023), UBS Global Electric Vehicle Battery Makers report, StoreDot patent and technology disclosures.</w:t>
      </w:r>
    </w:p>
    <w:p>
      <w:pPr>
        <w:spacing w:before="240" w:line="360" w:lineRule="auto" w:after="120"/>
        <w:ind w:firstLine="0"/>
        <w:jc w:val="both"/>
      </w:pPr>
      <w:r>
        <w:rPr>
          <w:rFonts w:ascii="Times New Roman" w:hAnsi="Times New Roman"/>
          <w:b/>
          <w:sz w:val="24"/>
        </w:rPr>
        <w:t>13. RISKS &amp; MITIGATIONS</w:t>
      </w:r>
    </w:p>
    <w:p>
      <w:pPr>
        <w:spacing w:before="240" w:line="360" w:lineRule="auto" w:after="120"/>
        <w:ind w:firstLine="0"/>
        <w:jc w:val="both"/>
      </w:pPr>
      <w:r>
        <w:rPr>
          <w:rFonts w:ascii="Times New Roman" w:hAnsi="Times New Roman"/>
          <w:b/>
          <w:sz w:val="24"/>
        </w:rPr>
        <w:t>Risks &amp; Mitigations</w:t>
      </w:r>
    </w:p>
    <w:p>
      <w:pPr>
        <w:spacing w:line="360" w:lineRule="auto"/>
        <w:ind w:firstLine="0"/>
        <w:jc w:val="both"/>
      </w:pPr>
      <w:r>
        <w:rPr>
          <w:rFonts w:ascii="Times New Roman" w:hAnsi="Times New Roman"/>
          <w:sz w:val="24"/>
        </w:rPr>
        <w:t>Unknown Market Size</w:t>
      </w:r>
    </w:p>
    <w:p>
      <w:pPr>
        <w:spacing w:line="360" w:lineRule="auto"/>
        <w:ind w:firstLine="0"/>
        <w:jc w:val="both"/>
      </w:pPr>
      <w:r>
        <w:rPr>
          <w:rFonts w:ascii="Times New Roman" w:hAnsi="Times New Roman"/>
          <w:sz w:val="24"/>
        </w:rPr>
        <w:t>• Explanation: The potential market size for StoreDot's extreme fast charging (XFC) lithiumion battery technology is uncertain. While the company targets massmarket EV segments in the US, EU, and China, the actual adoption rate of EVs and the demand for fastcharging solutions remain speculative. This uncertainty could impact StoreDot's revenue projections and investment attractiveness.</w:t>
      </w:r>
    </w:p>
    <w:p>
      <w:pPr>
        <w:spacing w:line="360" w:lineRule="auto"/>
        <w:ind w:firstLine="0"/>
        <w:jc w:val="both"/>
      </w:pPr>
      <w:r>
        <w:rPr>
          <w:rFonts w:ascii="Times New Roman" w:hAnsi="Times New Roman"/>
          <w:sz w:val="24"/>
        </w:rPr>
        <w:t>• Mitigation: StoreDot can mitigate this risk by conducting comprehensive market research to better understand potential demand and by developing flexible business models that can adapt to varying levels of market adoption.</w:t>
      </w:r>
    </w:p>
    <w:p>
      <w:pPr>
        <w:spacing w:line="360" w:lineRule="auto"/>
        <w:ind w:firstLine="0"/>
        <w:jc w:val="both"/>
      </w:pPr>
      <w:r>
        <w:rPr>
          <w:rFonts w:ascii="Times New Roman" w:hAnsi="Times New Roman"/>
          <w:sz w:val="24"/>
        </w:rPr>
        <w:t>Limited Financial Data</w:t>
      </w:r>
    </w:p>
    <w:p>
      <w:pPr>
        <w:spacing w:line="360" w:lineRule="auto"/>
        <w:ind w:firstLine="0"/>
        <w:jc w:val="both"/>
      </w:pPr>
      <w:r>
        <w:rPr>
          <w:rFonts w:ascii="Times New Roman" w:hAnsi="Times New Roman"/>
          <w:sz w:val="24"/>
        </w:rPr>
        <w:t>• Explanation: The lack of detailed financial data presents a challenge in assessing StoreDot's current financial health and future financial projections. This opacity can hinder investor confidence and complicate valuation efforts.</w:t>
      </w:r>
    </w:p>
    <w:p>
      <w:pPr>
        <w:spacing w:line="360" w:lineRule="auto"/>
        <w:ind w:firstLine="0"/>
        <w:jc w:val="both"/>
      </w:pPr>
      <w:r>
        <w:rPr>
          <w:rFonts w:ascii="Times New Roman" w:hAnsi="Times New Roman"/>
          <w:sz w:val="24"/>
        </w:rPr>
        <w:t>• Mitigation: StoreDot should prioritize transparency by providing detailed financial statements and forecasts. Engaging with thirdparty auditors to validate financial data could also enhance credibility with potential investors.</w:t>
      </w:r>
    </w:p>
    <w:p>
      <w:pPr>
        <w:spacing w:line="360" w:lineRule="auto"/>
        <w:ind w:firstLine="0"/>
        <w:jc w:val="both"/>
      </w:pPr>
      <w:r>
        <w:rPr>
          <w:rFonts w:ascii="Times New Roman" w:hAnsi="Times New Roman"/>
          <w:sz w:val="24"/>
        </w:rPr>
        <w:t>Tech Maturity Unclear</w:t>
      </w:r>
    </w:p>
    <w:p>
      <w:pPr>
        <w:spacing w:line="360" w:lineRule="auto"/>
        <w:ind w:firstLine="0"/>
        <w:jc w:val="both"/>
      </w:pPr>
      <w:r>
        <w:rPr>
          <w:rFonts w:ascii="Times New Roman" w:hAnsi="Times New Roman"/>
          <w:sz w:val="24"/>
        </w:rPr>
        <w:t>• Explanation: The maturity of StoreDot's technology is unclear, with commercial readiness targeted for 2025. The risk lies in potential delays or technical setbacks that could postpone commercialization, affecting competitive positioning and revenue generation.</w:t>
      </w:r>
    </w:p>
    <w:p>
      <w:pPr>
        <w:spacing w:line="360" w:lineRule="auto"/>
        <w:ind w:firstLine="0"/>
        <w:jc w:val="both"/>
      </w:pPr>
      <w:r>
        <w:rPr>
          <w:rFonts w:ascii="Times New Roman" w:hAnsi="Times New Roman"/>
          <w:sz w:val="24"/>
        </w:rPr>
        <w:t>• Mitigation: StoreDot can mitigate this risk by maintaining rigorous testing protocols and collaborating closely with OEMs and manufacturing partners to ensure technology readiness. Establishing clear milestones and contingencies for potential setbacks will also be crucial.</w:t>
      </w:r>
    </w:p>
    <w:p>
      <w:pPr>
        <w:spacing w:line="360" w:lineRule="auto"/>
        <w:ind w:firstLine="0"/>
        <w:jc w:val="both"/>
      </w:pPr>
      <w:r>
        <w:rPr>
          <w:rFonts w:ascii="Times New Roman" w:hAnsi="Times New Roman"/>
          <w:sz w:val="24"/>
        </w:rPr>
        <w:t>Feature Commoditization</w:t>
      </w:r>
    </w:p>
    <w:p>
      <w:pPr>
        <w:spacing w:line="360" w:lineRule="auto"/>
        <w:ind w:firstLine="0"/>
        <w:jc w:val="both"/>
      </w:pPr>
      <w:r>
        <w:rPr>
          <w:rFonts w:ascii="Times New Roman" w:hAnsi="Times New Roman"/>
          <w:sz w:val="24"/>
        </w:rPr>
        <w:t>• Explanation: As the EV battery market evolves, there is a risk that StoreDot's XFC technology could become commoditized, especially with emerging solidstate battery competitors. This could erode competitive advantages and pricing power.</w:t>
      </w:r>
    </w:p>
    <w:p>
      <w:pPr>
        <w:spacing w:line="360" w:lineRule="auto"/>
        <w:ind w:firstLine="0"/>
        <w:jc w:val="both"/>
      </w:pPr>
      <w:r>
        <w:rPr>
          <w:rFonts w:ascii="Times New Roman" w:hAnsi="Times New Roman"/>
          <w:sz w:val="24"/>
        </w:rPr>
        <w:t>• Mitigation: StoreDot's robust patent portfolio and focus on scalable, dropin compatible technology provide some protection. Continuous innovation and strategic partnerships will be essential to maintain differentiation and competitive edge.</w:t>
      </w:r>
    </w:p>
    <w:p>
      <w:pPr>
        <w:spacing w:line="360" w:lineRule="auto"/>
        <w:ind w:firstLine="0"/>
        <w:jc w:val="both"/>
      </w:pPr>
      <w:r>
        <w:rPr>
          <w:rFonts w:ascii="Times New Roman" w:hAnsi="Times New Roman"/>
          <w:sz w:val="24"/>
        </w:rPr>
        <w:t>Operational Scalability</w:t>
      </w:r>
    </w:p>
    <w:p>
      <w:pPr>
        <w:spacing w:line="360" w:lineRule="auto"/>
        <w:ind w:firstLine="0"/>
        <w:jc w:val="both"/>
      </w:pPr>
      <w:r>
        <w:rPr>
          <w:rFonts w:ascii="Times New Roman" w:hAnsi="Times New Roman"/>
          <w:sz w:val="24"/>
        </w:rPr>
        <w:t>• Explanation: Scaling operations to meet potential demand poses significant challenges, particularly in maintaining quality and managing supply chain complexities. Any operational hiccups could delay market entry and impact brand reputation.</w:t>
      </w:r>
    </w:p>
    <w:p>
      <w:pPr>
        <w:spacing w:line="360" w:lineRule="auto"/>
        <w:ind w:firstLine="0"/>
        <w:jc w:val="both"/>
      </w:pPr>
      <w:r>
        <w:rPr>
          <w:rFonts w:ascii="Times New Roman" w:hAnsi="Times New Roman"/>
          <w:sz w:val="24"/>
        </w:rPr>
        <w:t>• Mitigation: StoreDot's strategy of licensing technology to existing manufacturers helps mitigate some operational risks. However, establishing strong quality control processes and resilient supply chain partnerships will be critical for successful scaling.</w:t>
      </w:r>
    </w:p>
    <w:p>
      <w:pPr>
        <w:spacing w:line="360" w:lineRule="auto"/>
        <w:ind w:firstLine="0"/>
        <w:jc w:val="both"/>
      </w:pPr>
      <w:r>
        <w:rPr>
          <w:rFonts w:ascii="Times New Roman" w:hAnsi="Times New Roman"/>
          <w:sz w:val="24"/>
        </w:rPr>
        <w:t>Regulatory Compliance</w:t>
      </w:r>
    </w:p>
    <w:p>
      <w:pPr>
        <w:spacing w:line="360" w:lineRule="auto"/>
        <w:ind w:firstLine="0"/>
        <w:jc w:val="both"/>
      </w:pPr>
      <w:r>
        <w:rPr>
          <w:rFonts w:ascii="Times New Roman" w:hAnsi="Times New Roman"/>
          <w:sz w:val="24"/>
        </w:rPr>
        <w:t>• Explanation: Navigating the regulatory landscape across multiple regions (US, EU, China) is complex and poses risks related to compliance with environmental and safety standards. Noncompliance could lead to fines, product recalls, or barriers to market entry.</w:t>
      </w:r>
    </w:p>
    <w:p>
      <w:pPr>
        <w:spacing w:line="360" w:lineRule="auto"/>
        <w:ind w:firstLine="0"/>
        <w:jc w:val="both"/>
      </w:pPr>
      <w:r>
        <w:rPr>
          <w:rFonts w:ascii="Times New Roman" w:hAnsi="Times New Roman"/>
          <w:sz w:val="24"/>
        </w:rPr>
        <w:t>• Mitigation: StoreDot should invest in a dedicated regulatory affairs team to ensure compliance and proactively engage with regulatory bodies. Staying informed of regulatory changes and adapting accordingly will be vital to mitigate this risk.</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Based on the information provided, StoreDot's extreme fast charging battery technology seems to have a strong potential for mass adoption in the EV market. The company's technology is scalable, proven, and has a significant lead over alternative solutions. Potential exit scenarios could include acquisition by major EV manufacturers looking to enhance their charging capabilities or by tech giants interested in expanding into the EV space. An IPO could also be a viable exit strategy, potentially within a 3-5 year timeline, given the commercial readiness of the technology by 2025. However, more information on the company's financials, market traction, and partnerships would be needed to provide a more detailed analysis.</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 Technology Validation &amp; IP</w:t>
      </w:r>
    </w:p>
    <w:p>
      <w:pPr>
        <w:spacing w:line="360" w:lineRule="auto"/>
        <w:ind w:firstLine="0"/>
        <w:jc w:val="both"/>
      </w:pPr>
      <w:r>
        <w:rPr>
          <w:rFonts w:ascii="Times New Roman" w:hAnsi="Times New Roman"/>
          <w:sz w:val="24"/>
        </w:rPr>
        <w:t>• Request detailed thirdparty test reports validating the 10minute charging claim and &gt;1200 cycle life under extreme fast charging conditions.</w:t>
      </w:r>
    </w:p>
    <w:p>
      <w:pPr>
        <w:spacing w:line="360" w:lineRule="auto"/>
        <w:ind w:firstLine="0"/>
        <w:jc w:val="both"/>
      </w:pPr>
      <w:r>
        <w:rPr>
          <w:rFonts w:ascii="Times New Roman" w:hAnsi="Times New Roman"/>
          <w:sz w:val="24"/>
        </w:rPr>
        <w:t>• Clarify the scope and geographic coverage of the 78 granted and 22 pending patents; assess freedom to operate and potential infringement risks.</w:t>
      </w:r>
    </w:p>
    <w:p>
      <w:pPr>
        <w:spacing w:line="360" w:lineRule="auto"/>
        <w:ind w:firstLine="0"/>
        <w:jc w:val="both"/>
      </w:pPr>
      <w:r>
        <w:rPr>
          <w:rFonts w:ascii="Times New Roman" w:hAnsi="Times New Roman"/>
          <w:sz w:val="24"/>
        </w:rPr>
        <w:t>• Obtain data on battery performance degradation over time and under different realworld conditions (temperature, charge/discharge rates).</w:t>
      </w:r>
    </w:p>
    <w:p>
      <w:pPr>
        <w:spacing w:line="360" w:lineRule="auto"/>
        <w:ind w:firstLine="0"/>
        <w:jc w:val="both"/>
      </w:pPr>
      <w:r>
        <w:rPr>
          <w:rFonts w:ascii="Times New Roman" w:hAnsi="Times New Roman"/>
          <w:sz w:val="24"/>
        </w:rPr>
        <w:t>• OEM &amp; Manufacturing Partnerships</w:t>
      </w:r>
    </w:p>
    <w:p>
      <w:pPr>
        <w:spacing w:line="360" w:lineRule="auto"/>
        <w:ind w:firstLine="0"/>
        <w:jc w:val="both"/>
      </w:pPr>
      <w:r>
        <w:rPr>
          <w:rFonts w:ascii="Times New Roman" w:hAnsi="Times New Roman"/>
          <w:sz w:val="24"/>
        </w:rPr>
        <w:t>• Identify the &gt;15 OEMs and manufacturing partners currently testing the 100in5 cells; understand the stage and feedback of these collaborations.</w:t>
      </w:r>
    </w:p>
    <w:p>
      <w:pPr>
        <w:spacing w:line="360" w:lineRule="auto"/>
        <w:ind w:firstLine="0"/>
        <w:jc w:val="both"/>
      </w:pPr>
      <w:r>
        <w:rPr>
          <w:rFonts w:ascii="Times New Roman" w:hAnsi="Times New Roman"/>
          <w:sz w:val="24"/>
        </w:rPr>
        <w:t>• Confirm commitments or LOIs from OEMs for commercial adoption starting 2025.</w:t>
      </w:r>
    </w:p>
    <w:p>
      <w:pPr>
        <w:spacing w:line="360" w:lineRule="auto"/>
        <w:ind w:firstLine="0"/>
        <w:jc w:val="both"/>
      </w:pPr>
      <w:r>
        <w:rPr>
          <w:rFonts w:ascii="Times New Roman" w:hAnsi="Times New Roman"/>
          <w:sz w:val="24"/>
        </w:rPr>
        <w:t>• Assess manufacturing scaleup plans, capacity, and timelines to meet projected demand.</w:t>
      </w:r>
    </w:p>
    <w:p>
      <w:pPr>
        <w:spacing w:line="360" w:lineRule="auto"/>
        <w:ind w:firstLine="0"/>
        <w:jc w:val="both"/>
      </w:pPr>
      <w:r>
        <w:rPr>
          <w:rFonts w:ascii="Times New Roman" w:hAnsi="Times New Roman"/>
          <w:sz w:val="24"/>
        </w:rPr>
        <w:t>Technology Scalability &amp; Cost</w:t>
      </w:r>
    </w:p>
    <w:p>
      <w:pPr>
        <w:spacing w:line="360" w:lineRule="auto"/>
        <w:ind w:firstLine="0"/>
        <w:jc w:val="both"/>
      </w:pPr>
      <w:r>
        <w:rPr>
          <w:rFonts w:ascii="Times New Roman" w:hAnsi="Times New Roman"/>
          <w:sz w:val="24"/>
        </w:rPr>
        <w:t>• Request detailed cost model and comparison with incumbent Liion batteries and competing technologies.</w:t>
      </w:r>
    </w:p>
    <w:p>
      <w:pPr>
        <w:spacing w:line="360" w:lineRule="auto"/>
        <w:ind w:firstLine="0"/>
        <w:jc w:val="both"/>
      </w:pPr>
      <w:r>
        <w:rPr>
          <w:rFonts w:ascii="Times New Roman" w:hAnsi="Times New Roman"/>
          <w:sz w:val="24"/>
        </w:rPr>
        <w:t>• Clarify compatibility specifics with existing Liion manufacturing lines and any required CAPEX for licensees.</w:t>
      </w:r>
    </w:p>
    <w:p>
      <w:pPr>
        <w:spacing w:line="360" w:lineRule="auto"/>
        <w:ind w:firstLine="0"/>
        <w:jc w:val="both"/>
      </w:pPr>
      <w:r>
        <w:rPr>
          <w:rFonts w:ascii="Times New Roman" w:hAnsi="Times New Roman"/>
          <w:sz w:val="24"/>
        </w:rPr>
        <w:t>• Understand supply chain risks, especially for silicondominant anode materials and semisolid state components.</w:t>
      </w:r>
    </w:p>
    <w:p>
      <w:pPr>
        <w:spacing w:line="360" w:lineRule="auto"/>
        <w:ind w:firstLine="0"/>
        <w:jc w:val="both"/>
      </w:pPr>
      <w:r>
        <w:rPr>
          <w:rFonts w:ascii="Times New Roman" w:hAnsi="Times New Roman"/>
          <w:sz w:val="24"/>
        </w:rPr>
        <w:t>Competitive Landscape &amp; Differentiation</w:t>
      </w:r>
    </w:p>
    <w:p>
      <w:pPr>
        <w:spacing w:line="360" w:lineRule="auto"/>
        <w:ind w:firstLine="0"/>
        <w:jc w:val="both"/>
      </w:pPr>
      <w:r>
        <w:rPr>
          <w:rFonts w:ascii="Times New Roman" w:hAnsi="Times New Roman"/>
          <w:sz w:val="24"/>
        </w:rPr>
        <w:t>• Request a competitive analysis including emerging solidstate and semisolid battery startups, focusing on technology readiness, cost, and performance.</w:t>
      </w:r>
    </w:p>
    <w:p>
      <w:pPr>
        <w:spacing w:line="360" w:lineRule="auto"/>
        <w:ind w:firstLine="0"/>
        <w:jc w:val="both"/>
      </w:pPr>
      <w:r>
        <w:rPr>
          <w:rFonts w:ascii="Times New Roman" w:hAnsi="Times New Roman"/>
          <w:sz w:val="24"/>
        </w:rPr>
        <w:t>• Clarify StoreDot’s defensibility against competitors entering the extreme fast charging space within the next 35 years.</w:t>
      </w:r>
    </w:p>
    <w:p>
      <w:pPr>
        <w:spacing w:line="360" w:lineRule="auto"/>
        <w:ind w:firstLine="0"/>
        <w:jc w:val="both"/>
      </w:pPr>
      <w:r>
        <w:rPr>
          <w:rFonts w:ascii="Times New Roman" w:hAnsi="Times New Roman"/>
          <w:sz w:val="24"/>
        </w:rPr>
        <w:t>Regulatory &amp; Safety</w:t>
      </w:r>
    </w:p>
    <w:p>
      <w:pPr>
        <w:spacing w:line="360" w:lineRule="auto"/>
        <w:ind w:firstLine="0"/>
        <w:jc w:val="both"/>
      </w:pPr>
      <w:r>
        <w:rPr>
          <w:rFonts w:ascii="Times New Roman" w:hAnsi="Times New Roman"/>
          <w:sz w:val="24"/>
        </w:rPr>
        <w:t>• Obtain safety testing results and certifications relevant to automotive standards globally (UN38.3, UL, IEC).</w:t>
      </w:r>
    </w:p>
    <w:p>
      <w:pPr>
        <w:spacing w:line="360" w:lineRule="auto"/>
        <w:ind w:firstLine="0"/>
        <w:jc w:val="both"/>
      </w:pPr>
      <w:r>
        <w:rPr>
          <w:rFonts w:ascii="Times New Roman" w:hAnsi="Times New Roman"/>
          <w:sz w:val="24"/>
        </w:rPr>
        <w:t>• Understand any regulatory hurdles or approvals needed for commercialization in key markets (US, EU, China).</w:t>
      </w:r>
    </w:p>
    <w:p>
      <w:pPr>
        <w:spacing w:line="360" w:lineRule="auto"/>
        <w:ind w:firstLine="0"/>
        <w:jc w:val="both"/>
      </w:pPr>
      <w:r>
        <w:rPr>
          <w:rFonts w:ascii="Times New Roman" w:hAnsi="Times New Roman"/>
          <w:sz w:val="24"/>
        </w:rPr>
        <w:t>• Financials &amp; GotoMarket</w:t>
      </w:r>
    </w:p>
    <w:p>
      <w:pPr>
        <w:spacing w:line="360" w:lineRule="auto"/>
        <w:ind w:firstLine="0"/>
        <w:jc w:val="both"/>
      </w:pPr>
      <w:r>
        <w:rPr>
          <w:rFonts w:ascii="Times New Roman" w:hAnsi="Times New Roman"/>
          <w:sz w:val="24"/>
        </w:rPr>
        <w:t>• Request detailed financial projections, including revenue, margins, and capital expenditure through 2028.</w:t>
      </w:r>
    </w:p>
    <w:p>
      <w:pPr>
        <w:spacing w:line="360" w:lineRule="auto"/>
        <w:ind w:firstLine="0"/>
        <w:jc w:val="both"/>
      </w:pPr>
      <w:r>
        <w:rPr>
          <w:rFonts w:ascii="Times New Roman" w:hAnsi="Times New Roman"/>
          <w:sz w:val="24"/>
        </w:rPr>
        <w:t>• Clarify licensing model terms, expected royalty rates, and revenue share with manufacturing partners.</w:t>
      </w:r>
    </w:p>
    <w:p>
      <w:pPr>
        <w:spacing w:line="360" w:lineRule="auto"/>
        <w:ind w:firstLine="0"/>
        <w:jc w:val="both"/>
      </w:pPr>
      <w:r>
        <w:rPr>
          <w:rFonts w:ascii="Times New Roman" w:hAnsi="Times New Roman"/>
          <w:sz w:val="24"/>
        </w:rPr>
        <w:t>• Understand gotomarket strategy, including infrastructure partnerships to address charging network availability and standardization issues.</w:t>
      </w:r>
    </w:p>
    <w:p>
      <w:pPr>
        <w:spacing w:line="360" w:lineRule="auto"/>
        <w:ind w:firstLine="0"/>
        <w:jc w:val="both"/>
      </w:pPr>
      <w:r>
        <w:rPr>
          <w:rFonts w:ascii="Times New Roman" w:hAnsi="Times New Roman"/>
          <w:sz w:val="24"/>
        </w:rPr>
        <w:t>Team &amp; Execution Risk</w:t>
      </w:r>
    </w:p>
    <w:p>
      <w:pPr>
        <w:spacing w:line="360" w:lineRule="auto"/>
        <w:ind w:firstLine="0"/>
        <w:jc w:val="both"/>
      </w:pPr>
      <w:r>
        <w:rPr>
          <w:rFonts w:ascii="Times New Roman" w:hAnsi="Times New Roman"/>
          <w:sz w:val="24"/>
        </w:rPr>
        <w:t>• Assess depth of technical and commercial team beyond leadership; key hires planned to support scale.</w:t>
      </w:r>
    </w:p>
    <w:p>
      <w:pPr>
        <w:spacing w:line="360" w:lineRule="auto"/>
        <w:ind w:firstLine="0"/>
        <w:jc w:val="both"/>
      </w:pPr>
      <w:r>
        <w:rPr>
          <w:rFonts w:ascii="Times New Roman" w:hAnsi="Times New Roman"/>
          <w:sz w:val="24"/>
        </w:rPr>
        <w:t>• Understand potential execution risks in scaling production and achieving commercial readiness by 2025.</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Schedule technical deep dive with R&amp;D and CTO.</w:t>
      </w:r>
    </w:p>
    <w:p>
      <w:pPr>
        <w:spacing w:line="360" w:lineRule="auto"/>
        <w:ind w:firstLine="0"/>
        <w:jc w:val="both"/>
      </w:pPr>
      <w:r>
        <w:rPr>
          <w:rFonts w:ascii="Times New Roman" w:hAnsi="Times New Roman"/>
          <w:sz w:val="24"/>
        </w:rPr>
        <w:t>• Conduct reference checks with current OEM partners.</w:t>
      </w:r>
    </w:p>
    <w:p>
      <w:pPr>
        <w:spacing w:line="360" w:lineRule="auto"/>
        <w:ind w:firstLine="0"/>
        <w:jc w:val="both"/>
      </w:pPr>
      <w:r>
        <w:rPr>
          <w:rFonts w:ascii="Times New Roman" w:hAnsi="Times New Roman"/>
          <w:sz w:val="24"/>
        </w:rPr>
        <w:t>• Engage independent battery experts for technology due diligence.</w:t>
      </w:r>
    </w:p>
    <w:p>
      <w:pPr>
        <w:spacing w:line="360" w:lineRule="auto"/>
        <w:ind w:firstLine="0"/>
        <w:jc w:val="both"/>
      </w:pPr>
      <w:r>
        <w:rPr>
          <w:rFonts w:ascii="Times New Roman" w:hAnsi="Times New Roman"/>
          <w:sz w:val="24"/>
        </w:rPr>
        <w:t>• Review detailed financial model and licensing agreements.</w:t>
      </w:r>
    </w:p>
    <w:p>
      <w:pPr>
        <w:spacing w:line="360" w:lineRule="auto"/>
        <w:ind w:firstLine="0"/>
        <w:jc w:val="both"/>
      </w:pPr>
      <w:r>
        <w:rPr>
          <w:rFonts w:ascii="Times New Roman" w:hAnsi="Times New Roman"/>
          <w:sz w:val="24"/>
        </w:rPr>
        <w:t>• No followup questions if all above are satisfactorily addressed.</w:t>
      </w:r>
    </w:p>
    <w:p>
      <w:pPr>
        <w:spacing w:before="240" w:line="360" w:lineRule="auto" w:after="120"/>
        <w:ind w:firstLine="0"/>
        <w:jc w:val="both"/>
      </w:pPr>
      <w:r>
        <w:rPr>
          <w:rFonts w:ascii="Times New Roman" w:hAnsi="Times New Roman"/>
          <w:b/>
          <w:sz w:val="24"/>
        </w:rPr>
        <w:t>16. ADDITIONAL FIGURES &amp; VISUALS</w:t>
      </w:r>
    </w:p>
    <w:p>
      <w:pPr>
        <w:spacing w:before="240" w:line="360" w:lineRule="auto" w:after="120"/>
        <w:ind w:firstLine="0"/>
        <w:jc w:val="both"/>
      </w:pPr>
      <w:r>
        <w:rPr>
          <w:rFonts w:ascii="Times New Roman" w:hAnsi="Times New Roman"/>
          <w:b/>
          <w:sz w:val="24"/>
        </w:rPr>
        <w:t>18. DISCUSSION &amp; ANALYST COMMENTARY</w:t>
      </w:r>
    </w:p>
    <w:p>
      <w:pPr>
        <w:spacing w:before="240" w:line="360" w:lineRule="auto" w:after="120"/>
        <w:ind w:firstLine="0"/>
        <w:jc w:val="both"/>
      </w:pPr>
      <w:r>
        <w:rPr>
          <w:rFonts w:ascii="Times New Roman" w:hAnsi="Times New Roman"/>
          <w:b/>
          <w:sz w:val="24"/>
        </w:rPr>
        <w:t>Analyst Commentary on StoreDot Investment Memo</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Compelling Technology Focus: StoreDot’s silicondominant anode lithiumion battery technology promises a transformative improvement in EV charging speed (100 miles in 510 minutes), directly addressing a critical pain point—charging anxiety—that limits EV adoption.</w:t>
      </w:r>
    </w:p>
    <w:p>
      <w:pPr>
        <w:spacing w:line="360" w:lineRule="auto"/>
        <w:ind w:firstLine="0"/>
        <w:jc w:val="both"/>
      </w:pPr>
      <w:r>
        <w:rPr>
          <w:rFonts w:ascii="Times New Roman" w:hAnsi="Times New Roman"/>
          <w:sz w:val="24"/>
        </w:rPr>
        <w:t>• Strategic Licensing Model: By focusing on licensing dropin compatible technology to OEMs and manufacturers, StoreDot leverages existing manufacturing infrastructure, reducing capital intensity and accelerating scalability.</w:t>
      </w:r>
    </w:p>
    <w:p>
      <w:pPr>
        <w:spacing w:line="360" w:lineRule="auto"/>
        <w:ind w:firstLine="0"/>
        <w:jc w:val="both"/>
      </w:pPr>
      <w:r>
        <w:rPr>
          <w:rFonts w:ascii="Times New Roman" w:hAnsi="Times New Roman"/>
          <w:sz w:val="24"/>
        </w:rPr>
        <w:t>• Strong Industry Partnerships: Engagement with over 15 OEMs and manufacturing partners signals early market validation and potential for commercial adoption.</w:t>
      </w:r>
    </w:p>
    <w:p>
      <w:pPr>
        <w:spacing w:line="360" w:lineRule="auto"/>
        <w:ind w:firstLine="0"/>
        <w:jc w:val="both"/>
      </w:pPr>
      <w:r>
        <w:rPr>
          <w:rFonts w:ascii="Times New Roman" w:hAnsi="Times New Roman"/>
          <w:sz w:val="24"/>
        </w:rPr>
        <w:t>• Robust IP Portfolio: 78 granted US patents and 22 pending patents provide defensibility and barriers to entry in a highly competitive battery tech space.</w:t>
      </w:r>
    </w:p>
    <w:p>
      <w:pPr>
        <w:spacing w:line="360" w:lineRule="auto"/>
        <w:ind w:firstLine="0"/>
        <w:jc w:val="both"/>
      </w:pPr>
      <w:r>
        <w:rPr>
          <w:rFonts w:ascii="Times New Roman" w:hAnsi="Times New Roman"/>
          <w:sz w:val="24"/>
        </w:rPr>
        <w:t>• Experienced Leadership: The team combines deep technical expertise and proven commercial scaling experience, with strong automotive and tech backgrounds, enhancing execution credibility.</w:t>
      </w:r>
    </w:p>
    <w:p>
      <w:pPr>
        <w:spacing w:line="360" w:lineRule="auto"/>
        <w:ind w:firstLine="0"/>
        <w:jc w:val="both"/>
      </w:pPr>
      <w:r>
        <w:rPr>
          <w:rFonts w:ascii="Times New Roman" w:hAnsi="Times New Roman"/>
          <w:sz w:val="24"/>
        </w:rPr>
        <w:t>• ESG Alignment: Technology reduces cobalt content and employs a semisolid, dry production process, potentially lowering environmental impact and aligning with sustainability trends.</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Independent Technical Validation: No thirdparty verification of critical performance claims (charging speed, cycle life, safety) is provided, raising concerns about technology readiness and reliability.</w:t>
      </w:r>
    </w:p>
    <w:p>
      <w:pPr>
        <w:spacing w:line="360" w:lineRule="auto"/>
        <w:ind w:firstLine="0"/>
        <w:jc w:val="both"/>
      </w:pPr>
      <w:r>
        <w:rPr>
          <w:rFonts w:ascii="Times New Roman" w:hAnsi="Times New Roman"/>
          <w:sz w:val="24"/>
        </w:rPr>
        <w:t>• Opaque Financials and Market Sizing: Absence of disclosed financials, revenue projections, and independently validated TAM/SAM/SOM metrics limits ability to assess valuation and growth potential.</w:t>
      </w:r>
    </w:p>
    <w:p>
      <w:pPr>
        <w:spacing w:line="360" w:lineRule="auto"/>
        <w:ind w:firstLine="0"/>
        <w:jc w:val="both"/>
      </w:pPr>
      <w:r>
        <w:rPr>
          <w:rFonts w:ascii="Times New Roman" w:hAnsi="Times New Roman"/>
          <w:sz w:val="24"/>
        </w:rPr>
        <w:t>• Limited Detail on Product Specs and Scalability: Missing data on cycle life under realworld conditions, degradation rates, manufacturing CAPEX requirements, and supply chain robustness.</w:t>
      </w:r>
    </w:p>
    <w:p>
      <w:pPr>
        <w:spacing w:line="360" w:lineRule="auto"/>
        <w:ind w:firstLine="0"/>
        <w:jc w:val="both"/>
      </w:pPr>
      <w:r>
        <w:rPr>
          <w:rFonts w:ascii="Times New Roman" w:hAnsi="Times New Roman"/>
          <w:sz w:val="24"/>
        </w:rPr>
        <w:t>• Unclear OEM Commitments: While partnerships exist, the nature and binding status (LOIs, contracts) of OEM agreements are unspecified, creating uncertainty around commercial traction.</w:t>
      </w:r>
    </w:p>
    <w:p>
      <w:pPr>
        <w:spacing w:before="240" w:line="360" w:lineRule="auto" w:after="120"/>
        <w:ind w:firstLine="0"/>
        <w:jc w:val="both"/>
      </w:pPr>
      <w:r>
        <w:rPr>
          <w:rFonts w:ascii="Times New Roman" w:hAnsi="Times New Roman"/>
          <w:b/>
          <w:sz w:val="24"/>
        </w:rPr>
        <w:t>Competitive Landscape Risks: Competitors like QuantumScape and Sila Nanotechnologies are advancing alternative battery chemistries with potentially superior performance or safety profiles.</w:t>
      </w:r>
    </w:p>
    <w:p>
      <w:pPr>
        <w:spacing w:line="360" w:lineRule="auto"/>
        <w:ind w:firstLine="0"/>
        <w:jc w:val="both"/>
      </w:pPr>
      <w:r>
        <w:rPr>
          <w:rFonts w:ascii="Times New Roman" w:hAnsi="Times New Roman"/>
          <w:sz w:val="24"/>
        </w:rPr>
        <w:t>• Regulatory and Safety Ambiguity: No detailed safety certifications or regulatory compliance status provided, critical for automotive adoption.</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Mass EV Adoption Tailwinds: Regulatory mandates and consumer demand for EVs are accelerating, creating a large potential market for fastcharging battery solutions.</w:t>
      </w:r>
    </w:p>
    <w:p>
      <w:pPr>
        <w:spacing w:line="360" w:lineRule="auto"/>
        <w:ind w:firstLine="0"/>
        <w:jc w:val="both"/>
      </w:pPr>
      <w:r>
        <w:rPr>
          <w:rFonts w:ascii="Times New Roman" w:hAnsi="Times New Roman"/>
          <w:sz w:val="24"/>
        </w:rPr>
        <w:t>• FirstMover Advantage in XFC: StoreDot’s extreme fast charging capability could become a key differentiator if commercialized on schedule, enabling partnerships with OEMs seeking competitive EV offerings.</w:t>
      </w:r>
    </w:p>
    <w:p>
      <w:pPr>
        <w:spacing w:line="360" w:lineRule="auto"/>
        <w:ind w:firstLine="0"/>
        <w:jc w:val="both"/>
      </w:pPr>
      <w:r>
        <w:rPr>
          <w:rFonts w:ascii="Times New Roman" w:hAnsi="Times New Roman"/>
          <w:sz w:val="24"/>
        </w:rPr>
        <w:t>• Scalability via Licensing: Ability to embed technology into existing manufacturing lines could enable rapid scale and global reach across US, EU, and China markets.</w:t>
      </w:r>
    </w:p>
    <w:p>
      <w:pPr>
        <w:spacing w:line="360" w:lineRule="auto"/>
        <w:ind w:firstLine="0"/>
        <w:jc w:val="both"/>
      </w:pPr>
      <w:r>
        <w:rPr>
          <w:rFonts w:ascii="Times New Roman" w:hAnsi="Times New Roman"/>
          <w:sz w:val="24"/>
        </w:rPr>
        <w:t>• Potential Strategic Exits: Acquisition by major OEMs or tech companies, or IPO within 35 years, are plausible given the strategic importance of battery innovation.</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Technology Commercialization Risk: Targeting 2025 for commercial readiness leaves a narrow window; delays or technical setbacks could erode competitive advantage.</w:t>
      </w:r>
    </w:p>
    <w:p>
      <w:pPr>
        <w:spacing w:line="360" w:lineRule="auto"/>
        <w:ind w:firstLine="0"/>
        <w:jc w:val="both"/>
      </w:pPr>
      <w:r>
        <w:rPr>
          <w:rFonts w:ascii="Times New Roman" w:hAnsi="Times New Roman"/>
          <w:sz w:val="24"/>
        </w:rPr>
        <w:t>• Market Adoption Uncertainty: EV charging infrastructure and consumer acceptance of new battery tech remain variable; market size assumptions need validation.</w:t>
      </w:r>
    </w:p>
    <w:p>
      <w:pPr>
        <w:spacing w:line="360" w:lineRule="auto"/>
        <w:ind w:firstLine="0"/>
        <w:jc w:val="both"/>
      </w:pPr>
      <w:r>
        <w:rPr>
          <w:rFonts w:ascii="Times New Roman" w:hAnsi="Times New Roman"/>
          <w:sz w:val="24"/>
        </w:rPr>
        <w:t>• Commoditization and Competitive Pressure: Emerging solidstate and alternative chemistries could leapfrog StoreDot’s technology, reducing pricing power and margins.</w:t>
      </w:r>
    </w:p>
    <w:p>
      <w:pPr>
        <w:spacing w:line="360" w:lineRule="auto"/>
        <w:ind w:firstLine="0"/>
        <w:jc w:val="both"/>
      </w:pPr>
      <w:r>
        <w:rPr>
          <w:rFonts w:ascii="Times New Roman" w:hAnsi="Times New Roman"/>
          <w:sz w:val="24"/>
        </w:rPr>
        <w:t>• Operational ScaleUp Challenges: Licensing model reduces capital burden but requires strong partner execution and quality control; supply chain constraints for silicon and semisolid materials could hamper production.</w:t>
      </w:r>
    </w:p>
    <w:p>
      <w:pPr>
        <w:spacing w:line="360" w:lineRule="auto"/>
        <w:ind w:firstLine="0"/>
        <w:jc w:val="both"/>
      </w:pPr>
      <w:r>
        <w:rPr>
          <w:rFonts w:ascii="Times New Roman" w:hAnsi="Times New Roman"/>
          <w:sz w:val="24"/>
        </w:rPr>
        <w:t>• Regulatory Hurdles: Multijurisdictional compliance complexity could delay market entry or increase costs.</w:t>
      </w:r>
    </w:p>
    <w:p>
      <w:pPr>
        <w:spacing w:line="360" w:lineRule="auto"/>
        <w:ind w:firstLine="0"/>
        <w:jc w:val="both"/>
      </w:pPr>
      <w:r>
        <w:rPr>
          <w:rFonts w:ascii="Times New Roman" w:hAnsi="Times New Roman"/>
          <w:sz w:val="24"/>
        </w:rPr>
        <w:t>• Financial Transparency: Lack of financial disclosure impairs risk assessment and valuation.</w:t>
      </w:r>
    </w:p>
    <w:p>
      <w:pPr>
        <w:spacing w:before="240" w:line="360" w:lineRule="auto" w:after="120"/>
        <w:ind w:firstLine="0"/>
        <w:jc w:val="both"/>
      </w:pPr>
      <w:r>
        <w:rPr>
          <w:rFonts w:ascii="Times New Roman" w:hAnsi="Times New Roman"/>
          <w:b/>
          <w:sz w:val="24"/>
        </w:rPr>
        <w:t>Actionable Recommendations for Investors</w:t>
      </w:r>
    </w:p>
    <w:p>
      <w:pPr>
        <w:spacing w:line="360" w:lineRule="auto"/>
        <w:ind w:firstLine="0"/>
        <w:jc w:val="both"/>
      </w:pPr>
      <w:r>
        <w:rPr>
          <w:rFonts w:ascii="Times New Roman" w:hAnsi="Times New Roman"/>
          <w:sz w:val="24"/>
        </w:rPr>
        <w:t>1. Demand Independent Technical Validation: Prioritize obtaining third-party test results on charging speed, cycle life, safety certifications, and real-world performance before committing capital.</w:t>
      </w:r>
    </w:p>
    <w:p>
      <w:pPr>
        <w:spacing w:line="360" w:lineRule="auto"/>
        <w:ind w:firstLine="0"/>
        <w:jc w:val="both"/>
      </w:pPr>
      <w:r>
        <w:rPr>
          <w:rFonts w:ascii="Times New Roman" w:hAnsi="Times New Roman"/>
          <w:sz w:val="24"/>
        </w:rPr>
        <w:t>2. Clarify OEM Partnerships: Seek detailed information on the nature, exclusivity, and commercial terms of OEM and manufacturing agreements, including binding commitments and pilot results.</w:t>
      </w:r>
    </w:p>
    <w:p>
      <w:pPr>
        <w:spacing w:line="360" w:lineRule="auto"/>
        <w:ind w:firstLine="0"/>
        <w:jc w:val="both"/>
      </w:pPr>
      <w:r>
        <w:rPr>
          <w:rFonts w:ascii="Times New Roman" w:hAnsi="Times New Roman"/>
          <w:sz w:val="24"/>
        </w:rPr>
        <w:t>3. Request Detailed Financials and Market Analysis: Insist on transparent financial statements, revenue forecasts, licensing terms, and independently validated market sizing to underpin valuation and growth assumptions.</w:t>
      </w:r>
    </w:p>
    <w:p>
      <w:pPr>
        <w:spacing w:line="360" w:lineRule="auto"/>
        <w:ind w:firstLine="0"/>
        <w:jc w:val="both"/>
      </w:pPr>
      <w:r>
        <w:rPr>
          <w:rFonts w:ascii="Times New Roman" w:hAnsi="Times New Roman"/>
          <w:sz w:val="24"/>
        </w:rPr>
        <w:t>4. Assess Competitive Positioning: Conduct a thorough competitive landscape review focusing on technology readiness, cost, and IP defensibility relative to solid-state and other emerging battery technologies.</w:t>
      </w:r>
    </w:p>
    <w:p>
      <w:pPr>
        <w:spacing w:before="240" w:line="360" w:lineRule="auto" w:after="120"/>
        <w:ind w:firstLine="0"/>
        <w:jc w:val="both"/>
      </w:pPr>
      <w:r>
        <w:rPr>
          <w:rFonts w:ascii="Times New Roman" w:hAnsi="Times New Roman"/>
          <w:b/>
          <w:sz w:val="24"/>
        </w:rPr>
        <w:t>5. Evaluate Regulatory and Supply Chain Risks: Ensure StoreDot has a robust regulatory strategy and supply chain resilience plan, especially for critical materials and manufacturing scale-up.</w:t>
      </w:r>
    </w:p>
    <w:p>
      <w:pPr>
        <w:spacing w:line="360" w:lineRule="auto"/>
        <w:ind w:firstLine="0"/>
        <w:jc w:val="both"/>
      </w:pPr>
      <w:r>
        <w:rPr>
          <w:rFonts w:ascii="Times New Roman" w:hAnsi="Times New Roman"/>
          <w:sz w:val="24"/>
        </w:rPr>
        <w:t>6. Monitor Execution Capability: Engage with management to understand hiring plans, operational milestones, and contingency plans to mitigate commercialization delays.</w:t>
      </w:r>
    </w:p>
    <w:p>
      <w:pPr>
        <w:spacing w:line="360" w:lineRule="auto"/>
        <w:ind w:firstLine="0"/>
        <w:jc w:val="both"/>
      </w:pPr>
      <w:r>
        <w:rPr>
          <w:rFonts w:ascii="Times New Roman" w:hAnsi="Times New Roman"/>
          <w:sz w:val="24"/>
        </w:rPr>
        <w:t>7. Consider Staged Investment: Given uncertainties, structure investment in tranches tied to technical milestones, OEM commitments, and regulatory approvals to manage risk.</w:t>
      </w:r>
    </w:p>
    <w:p>
      <w:pPr>
        <w:spacing w:before="240" w:line="360" w:lineRule="auto" w:after="120"/>
        <w:ind w:firstLine="0"/>
        <w:jc w:val="both"/>
      </w:pPr>
      <w:r>
        <w:rPr>
          <w:rFonts w:ascii="Times New Roman" w:hAnsi="Times New Roman"/>
          <w:b/>
          <w:sz w:val="24"/>
        </w:rPr>
        <w:t>Summary</w:t>
      </w:r>
    </w:p>
    <w:p>
      <w:pPr>
        <w:spacing w:line="360" w:lineRule="auto"/>
        <w:ind w:firstLine="0"/>
        <w:jc w:val="both"/>
      </w:pPr>
      <w:r>
        <w:rPr>
          <w:rFonts w:ascii="Times New Roman" w:hAnsi="Times New Roman"/>
          <w:sz w:val="24"/>
        </w:rPr>
        <w:t>StoreDot presents a promising deep-tech opportunity targeting a critical bottleneck in EV adoption with potentially disruptive battery technology. The company’s licensing model, strong IP, and leadership team are notable strengths. However, significant information gaps—particularly around independent technology validation, financial transparency, and OEM commitments—pose material risks. Investors should adopt a cautious, due diligence-driven approach, emphasizing technical and commercial validation before scaling investment. If StoreDot can demonstrate credible performance and secure firm OEM partnerships by 2025, it could become a key player in the fast-evolving EV battery market.</w:t>
      </w:r>
    </w:p>
    <w:p>
      <w:pPr>
        <w:spacing w:line="360" w:lineRule="auto"/>
        <w:ind w:firstLine="0"/>
        <w:jc w:val="both"/>
      </w:pPr>
      <w:r>
        <w:rPr>
          <w:rFonts w:ascii="Times New Roman" w:hAnsi="Times New Roman"/>
          <w:sz w:val="24"/>
        </w:rPr>
        <w:t>Generated by VC Analysis System on July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A598F" w14:textId="77777777" w:rsidR="00D64E57" w:rsidRDefault="00D64E57">
      <w:r>
        <w:separator/>
      </w:r>
    </w:p>
  </w:endnote>
  <w:endnote w:type="continuationSeparator" w:id="0">
    <w:p w14:paraId="2BBC9463" w14:textId="77777777" w:rsidR="00D64E57" w:rsidRDefault="00D6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84B3" w14:textId="77777777" w:rsidR="00D64E57" w:rsidRDefault="00D64E57">
      <w:r>
        <w:separator/>
      </w:r>
    </w:p>
  </w:footnote>
  <w:footnote w:type="continuationSeparator" w:id="0">
    <w:p w14:paraId="284FAD6A" w14:textId="77777777" w:rsidR="00D64E57" w:rsidRDefault="00D6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47</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54</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26</cp:revision>
  <cp:lastPrinted>2012-08-22T12:07:00Z</cp:lastPrinted>
  <dcterms:created xsi:type="dcterms:W3CDTF">2025-07-11T11:27:00Z</dcterms:created>
  <dcterms:modified xsi:type="dcterms:W3CDTF">2025-07-14T13:08:00Z</dcterms:modified>
</cp:coreProperties>
</file>