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17, 2025 at 02:59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line="360" w:lineRule="auto"/>
        <w:ind w:firstLine="0"/>
        <w:jc w:val="both"/>
      </w:pPr>
      <w:r>
        <w:rPr>
          <w:rFonts w:ascii="Times New Roman" w:hAnsi="Times New Roman"/>
          <w:sz w:val="24"/>
        </w:rPr>
        <w:t>No LinkedIn profile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Focus on solidstate battery technology with proprietary ceramic separators enabling fast charging and long cycle life.</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Proprietary silicondominant anode materials that significantly increase battery capacity without compromising safety or longevity.</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Focus on sulfide solid electrolytes enabling scalable manufacturing of solidstate batteries compatible with existing EV platforms.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battery technology startup focused on enabling extreme fast charging (XFC) for electric vehicles (EVs) to accelerate mass adoption. Their core business model centers on developing and licensing proprietary silicon-dominant anode lithium-ion battery cells capable of charging 100 miles of range in 5 minutes, with commercial readiness targeted for 2025. Revenue streams likely include licensing fees and partnerships with OEMs and battery manufacturers, as evidenced by ongoing testing with over 15 global OEMs. Their customer segments are primarily EV manufacturers and battery producers seeking to overcome charging speed limitations and "charging anxiety" among drivers. StoreDot’s go-to-market strategy leverages compatibility with existing lithium-ion manufacturing lines, enabling scalable, cost-effective integration without requiring new CAPEX, which supports rapid industry adoption. The company maintains a strong IP portfolio and a clear technology roadmap extending to semi-solid and post-lithium batteries, positioning it ahead of competing technologies that are less aligned with the EV market timeline. No recent pivots were identified; the company remains focused on XFC battery commercialization and licensing.</w:t>
      </w:r>
    </w:p>
    <w:p>
      <w:pPr>
        <w:spacing w:line="360" w:lineRule="auto"/>
        <w:ind w:firstLine="0"/>
        <w:jc w:val="both"/>
      </w:pPr>
      <w:r>
        <w:rPr>
          <w:rFonts w:ascii="Times New Roman" w:hAnsi="Times New Roman"/>
          <w:sz w:val="24"/>
        </w:rPr>
        <w:t>Sources: StoreDot April 2023 Corporate Overview; UBS Global EV Battery Makers report (cited); StoreDot patent and technology disclosures.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company operating in the battery technology sector, focusing on developing advanced battery solutions. The company's offerings are centered around enhancing battery performance, particularly in terms of charging speed and cycle life, to meet the growing demands of modern electronic devices and electric vehicles.</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Advanced battery technology designed to significantly reduce charging times.</w:t>
      </w:r>
    </w:p>
    <w:p>
      <w:pPr>
        <w:spacing w:line="360" w:lineRule="auto"/>
        <w:ind w:firstLine="0"/>
        <w:jc w:val="both"/>
      </w:pPr>
      <w:r>
        <w:rPr>
          <w:rFonts w:ascii="Times New Roman" w:hAnsi="Times New Roman"/>
          <w:sz w:val="24"/>
        </w:rPr>
        <w:t>• Emphasis on extending the cycle life of batteries, ensuring longer usability and sustainability.</w:t>
      </w:r>
    </w:p>
    <w:p>
      <w:pPr>
        <w:spacing w:line="360" w:lineRule="auto"/>
        <w:ind w:firstLine="0"/>
        <w:jc w:val="both"/>
      </w:pPr>
      <w:r>
        <w:rPr>
          <w:rFonts w:ascii="Times New Roman" w:hAnsi="Times New Roman"/>
          <w:sz w:val="24"/>
        </w:rPr>
        <w:t>• Potential applications in a wide range of electronic devices and electric vehicles, addressing critical market needs for faster charging solutions.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The product aims to deliver high performance with rapid charging capabilities, a crucial factor for consumer electronics and automotive industries.</w:t>
      </w:r>
    </w:p>
    <w:p>
      <w:pPr>
        <w:spacing w:line="360" w:lineRule="auto"/>
        <w:ind w:firstLine="0"/>
        <w:jc w:val="both"/>
      </w:pPr>
      <w:r>
        <w:rPr>
          <w:rFonts w:ascii="Times New Roman" w:hAnsi="Times New Roman"/>
          <w:sz w:val="24"/>
        </w:rPr>
        <w:t>• Scalability of the technology is essential for widespread adoption, though specific details on scalability metrics are not provided.</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The technology is expected to integrate with existing battery systems, though specific integration capabilities or partnerships are not detailed.</w:t>
      </w:r>
    </w:p>
    <w:p>
      <w:pPr>
        <w:spacing w:line="360" w:lineRule="auto"/>
        <w:ind w:firstLine="0"/>
        <w:jc w:val="both"/>
      </w:pPr>
      <w:r>
        <w:rPr>
          <w:rFonts w:ascii="Times New Roman" w:hAnsi="Times New Roman"/>
          <w:sz w:val="24"/>
        </w:rPr>
        <w:t>• Extensibility into various market segments could be a potential strength, but further information is needed.</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There is no information provided regarding opensource contributions or community engagement, which could be a consideration for future development and adoption.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The product roadmap is not detailed in the provided context, which is a critical omission for understanding future development and strategic direction.</w:t>
      </w:r>
    </w:p>
    <w:p>
      <w:pPr>
        <w:spacing w:line="360" w:lineRule="auto"/>
        <w:ind w:firstLine="0"/>
        <w:jc w:val="both"/>
      </w:pPr>
      <w:r>
        <w:rPr>
          <w:rFonts w:ascii="Times New Roman" w:hAnsi="Times New Roman"/>
          <w:sz w:val="24"/>
        </w:rPr>
        <w:t>Differentiation:</w:t>
      </w:r>
    </w:p>
    <w:p>
      <w:pPr>
        <w:spacing w:line="360" w:lineRule="auto"/>
        <w:ind w:firstLine="0"/>
        <w:jc w:val="both"/>
      </w:pPr>
      <w:r>
        <w:rPr>
          <w:rFonts w:ascii="Times New Roman" w:hAnsi="Times New Roman"/>
          <w:sz w:val="24"/>
        </w:rPr>
        <w:t>• StoreDot's primary differentiator appears to be its focus on ultrafast charging technology, setting it apart from traditional battery solutions.</w:t>
      </w:r>
    </w:p>
    <w:p>
      <w:pPr>
        <w:spacing w:line="360" w:lineRule="auto"/>
        <w:ind w:firstLine="0"/>
        <w:jc w:val="both"/>
      </w:pPr>
      <w:r>
        <w:rPr>
          <w:rFonts w:ascii="Times New Roman" w:hAnsi="Times New Roman"/>
          <w:sz w:val="24"/>
        </w:rPr>
        <w:t>• The emphasis on cycle life and performance positions the company to address key pain points in the battery market.</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focus on rapid charging and extended cycle life addresses significant market demands, potentially offering a competitive edge.</w:t>
      </w:r>
    </w:p>
    <w:p>
      <w:pPr>
        <w:spacing w:line="360" w:lineRule="auto"/>
        <w:ind w:firstLine="0"/>
        <w:jc w:val="both"/>
      </w:pPr>
      <w:r>
        <w:rPr>
          <w:rFonts w:ascii="Times New Roman" w:hAnsi="Times New Roman"/>
          <w:sz w:val="24"/>
        </w:rPr>
        <w:t>• If successfully implemented, the technology could disrupt current battery standards and practices.</w:t>
      </w:r>
    </w:p>
    <w:p>
      <w:pPr>
        <w:spacing w:line="360" w:lineRule="auto"/>
        <w:ind w:firstLine="0"/>
        <w:jc w:val="both"/>
      </w:pPr>
      <w:r>
        <w:rPr>
          <w:rFonts w:ascii="Times New Roman" w:hAnsi="Times New Roman"/>
          <w:sz w:val="24"/>
        </w:rPr>
        <w:t>Missing or Unclear Information:</w:t>
      </w:r>
    </w:p>
    <w:p>
      <w:pPr>
        <w:spacing w:line="360" w:lineRule="auto"/>
        <w:ind w:firstLine="0"/>
        <w:jc w:val="both"/>
      </w:pPr>
      <w:r>
        <w:rPr>
          <w:rFonts w:ascii="Times New Roman" w:hAnsi="Times New Roman"/>
          <w:sz w:val="24"/>
        </w:rPr>
        <w:t>• The absence of a detailed product description and specifications limits the ability to fully assess the technology's capabilities and market readiness.</w:t>
      </w:r>
    </w:p>
    <w:p>
      <w:pPr>
        <w:spacing w:line="360" w:lineRule="auto"/>
        <w:ind w:firstLine="0"/>
        <w:jc w:val="both"/>
      </w:pPr>
      <w:r>
        <w:rPr>
          <w:rFonts w:ascii="Times New Roman" w:hAnsi="Times New Roman"/>
          <w:sz w:val="24"/>
        </w:rPr>
        <w:t>• Lack of information on the product roadmap and integration capabilities raises questions about longterm strategy and adaptability.</w:t>
      </w:r>
    </w:p>
    <w:p>
      <w:pPr>
        <w:spacing w:line="360" w:lineRule="auto"/>
        <w:ind w:firstLine="0"/>
        <w:jc w:val="both"/>
      </w:pPr>
      <w:r>
        <w:rPr>
          <w:rFonts w:ascii="Times New Roman" w:hAnsi="Times New Roman"/>
          <w:sz w:val="24"/>
        </w:rPr>
        <w:t>• Details on scalability and potential partnerships or collaborations are not provided, which are crucial for evaluating market potential and growth prospects.</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17,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leadership team at StoreDot is composed of experienced professionals with diverse backgrounds in technology, management, and finance. Their combined expertise is crucial for driving the company's innovation in the battery technology sector. Below is a detailed analysis of the key team members: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Unknown</w:t>
      </w:r>
    </w:p>
    <w:p>
      <w:pPr>
        <w:spacing w:line="360" w:lineRule="auto"/>
        <w:ind w:firstLine="0"/>
        <w:jc w:val="both"/>
      </w:pPr>
      <w:r>
        <w:rPr>
          <w:rFonts w:ascii="Times New Roman" w:hAnsi="Times New Roman"/>
          <w:sz w:val="24"/>
        </w:rPr>
        <w:t>• Bio/Track Record: CarlPeter Forster brings a wealth of experience to StoreDot, having held senior positions in the automotive industry. His leadership roles in major automotive companies likely provide StoreDot with strategic insights into the automotive market, which is a key application area for advanced battery technologies. While specific details about his prior exits are unknown, his background suggests a strong capability in steering large organizations and potentially guiding StoreDot through strategic partnerships or market expansions.</w:t>
      </w:r>
    </w:p>
    <w:p>
      <w:pPr>
        <w:spacing w:line="360" w:lineRule="auto"/>
        <w:ind w:firstLine="0"/>
        <w:jc w:val="both"/>
      </w:pPr>
      <w:r>
        <w:rPr>
          <w:rFonts w:ascii="Times New Roman" w:hAnsi="Times New Roman"/>
          <w:sz w:val="24"/>
        </w:rPr>
        <w:t>Doron Myersdorf, DSc - CEO and Co-founder</w:t>
      </w:r>
    </w:p>
    <w:p>
      <w:pPr>
        <w:spacing w:line="360" w:lineRule="auto"/>
        <w:ind w:firstLine="0"/>
        <w:jc w:val="both"/>
      </w:pPr>
      <w:r>
        <w:rPr>
          <w:rFonts w:ascii="Times New Roman" w:hAnsi="Times New Roman"/>
          <w:sz w:val="24"/>
        </w:rPr>
        <w:t>• Bio/Track Record: As the CEO and Cofounder of StoreDot, Doron Myersdorf plays a pivotal role in the company's strategic direction and innovation. With a Doctor of Science degree, his academic background likely contributes to StoreDot's focus on cuttingedge research and development in battery technology. Although details of his prior exits are not available, his leadership in cofounding StoreDot indicates a strong entrepreneurial spirit and a commitment to advancing the company's mission. His role is critical in navigating the challenges of scaling technology and securing partnerships in the competitive battery sector.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Bio/Track Record: Meir Halberstam serves as the Chief Financial Officer at StoreDot, where he is responsible for overseeing the company's financial strategy and operations. While specific details about his previous roles and exits are not provided, his position as CFO suggests a strong background in financial management and strategy. His expertise is essential for ensuring that StoreDot maintains a healthy financial position as it invests in research and development and seeks to expand its market presence. His role is particularly important in managing investor relations and securing funding to support the company's growth objectives.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StoreDot leadership team, while composed of individuals with significant industry experience, presents some challenges from an investment perspective due to the lack of detailed information on their track records and prior exits. This lack of transparency can be a concern for potential investors who rely on proven success and clear evidence of past achievements to gauge the potential for future success. However, the team's diverse expertise in technology, finance, and industry-specific knowledge provides a solid foundation for driving innovation and growth in the battery technology sector. It will be crucial for StoreDot to leverage this expertise effectively to navigate the competitive landscape and achieve its strategic objectives.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significantly faster charging (charging 100 miles in 5 minutes), high cycle life (&gt;1200 XFC cycles without degradation), and compatibility with existing Li-ion manufacturing, supporting scalability and cost-effectiveness. ESG considerations include a focus on reducing cobalt content, which aligns with sustainability goals by mitigating reliance on conflict minerals and improving supply chain ethics. Social impact is positive through enabling broader EV adoption, potentially reducing greenhouse gas emissions and urban pollution. Governance appears strong with experienced leadership and a global advisory board of industry experts, though detailed disclosures on ESG policies or diversity are not provided. No recent ESG controversies or negative news were found in available sources. Overall, StoreDot’s innovation supports environmental sustainability and aligns with regulatory trends promoting EVs, but more transparency on social and governance metrics would strengthen their ESG profile.</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 &amp; Mitigations</w:t>
      </w:r>
    </w:p>
    <w:p>
      <w:pPr>
        <w:spacing w:line="360" w:lineRule="auto"/>
        <w:ind w:firstLine="0"/>
        <w:jc w:val="both"/>
      </w:pPr>
      <w:r>
        <w:rPr>
          <w:rFonts w:ascii="Times New Roman" w:hAnsi="Times New Roman"/>
          <w:sz w:val="24"/>
        </w:rPr>
        <w:t>1. Unknown Market Size</w:t>
      </w:r>
    </w:p>
    <w:p>
      <w:pPr>
        <w:spacing w:line="360" w:lineRule="auto"/>
        <w:ind w:firstLine="0"/>
        <w:jc w:val="both"/>
      </w:pPr>
      <w:r>
        <w:rPr>
          <w:rFonts w:ascii="Times New Roman" w:hAnsi="Times New Roman"/>
          <w:sz w:val="24"/>
        </w:rPr>
        <w:t>• Explanation: The market size for StoreDot's battery technology is not clearly defined, which poses a significant risk for investment. Without a clear understanding of the potential market size, it is challenging to forecast revenue growth and market penetration. This uncertainty can lead to misallocation of resources and misalignment of strategic goals.</w:t>
      </w:r>
    </w:p>
    <w:p>
      <w:pPr>
        <w:spacing w:line="360" w:lineRule="auto"/>
        <w:ind w:firstLine="0"/>
        <w:jc w:val="both"/>
      </w:pPr>
      <w:r>
        <w:rPr>
          <w:rFonts w:ascii="Times New Roman" w:hAnsi="Times New Roman"/>
          <w:sz w:val="24"/>
        </w:rPr>
        <w:t>• Mitigation: Conducting comprehensive market research to better understand the demand for advanced battery technologies across various sectors, such as electric vehicles, consumer electronics, and renewable energy storage, could provide more clarity. Engaging with industry experts and potential customers to validate assumptions about market needs and growth potential would also be beneficial.</w:t>
      </w:r>
    </w:p>
    <w:p>
      <w:pPr>
        <w:spacing w:line="360" w:lineRule="auto"/>
        <w:ind w:firstLine="0"/>
        <w:jc w:val="both"/>
      </w:pPr>
      <w:r>
        <w:rPr>
          <w:rFonts w:ascii="Times New Roman" w:hAnsi="Times New Roman"/>
          <w:sz w:val="24"/>
        </w:rPr>
        <w:t>2. Unknown Financial Health</w:t>
      </w:r>
    </w:p>
    <w:p>
      <w:pPr>
        <w:spacing w:line="360" w:lineRule="auto"/>
        <w:ind w:firstLine="0"/>
        <w:jc w:val="both"/>
      </w:pPr>
      <w:r>
        <w:rPr>
          <w:rFonts w:ascii="Times New Roman" w:hAnsi="Times New Roman"/>
          <w:sz w:val="24"/>
        </w:rPr>
        <w:t>• Explanation: The lack of detailed financial information about StoreDot raises concerns about the company's current financial stability and future funding requirements. Without transparency in financial health, it is difficult to assess the company's ability to sustain operations, invest in R&amp;D, and scale production.</w:t>
      </w:r>
    </w:p>
    <w:p>
      <w:pPr>
        <w:spacing w:line="360" w:lineRule="auto"/>
        <w:ind w:firstLine="0"/>
        <w:jc w:val="both"/>
      </w:pPr>
      <w:r>
        <w:rPr>
          <w:rFonts w:ascii="Times New Roman" w:hAnsi="Times New Roman"/>
          <w:sz w:val="24"/>
        </w:rPr>
        <w:t>• Mitigation: Requesting detailed financial statements, including cash flow projections, balance sheets, and income statements, is essential. Additionally, understanding the company's burn rate and funding runway will provide insights into its financial resilience and capital needs.</w:t>
      </w:r>
    </w:p>
    <w:p>
      <w:pPr>
        <w:spacing w:line="360" w:lineRule="auto"/>
        <w:ind w:firstLine="0"/>
        <w:jc w:val="both"/>
      </w:pPr>
      <w:r>
        <w:rPr>
          <w:rFonts w:ascii="Times New Roman" w:hAnsi="Times New Roman"/>
          <w:sz w:val="24"/>
        </w:rPr>
        <w:t>3. Technology Maturity Unclear</w:t>
      </w:r>
    </w:p>
    <w:p>
      <w:pPr>
        <w:spacing w:line="360" w:lineRule="auto"/>
        <w:ind w:firstLine="0"/>
        <w:jc w:val="both"/>
      </w:pPr>
      <w:r>
        <w:rPr>
          <w:rFonts w:ascii="Times New Roman" w:hAnsi="Times New Roman"/>
          <w:sz w:val="24"/>
        </w:rPr>
        <w:t>• Explanation: The maturity of StoreDot's battery technology is not clearly established, which could impact its readiness for commercialization. If the technology is not sufficiently advanced, it may face challenges in performance, reliability, and costeffectiveness compared to existing solutions.</w:t>
      </w:r>
    </w:p>
    <w:p>
      <w:pPr>
        <w:spacing w:line="360" w:lineRule="auto"/>
        <w:ind w:firstLine="0"/>
        <w:jc w:val="both"/>
      </w:pPr>
      <w:r>
        <w:rPr>
          <w:rFonts w:ascii="Times New Roman" w:hAnsi="Times New Roman"/>
          <w:sz w:val="24"/>
        </w:rPr>
        <w:t>• Mitigation: Conducting thorough due diligence on the technology's development stage, including independent technical evaluations and prototype testing, can help assess its readiness. Collaborating with industry partners for pilot projects could also provide practical insights into its commercial viability.</w:t>
      </w:r>
    </w:p>
    <w:p>
      <w:pPr>
        <w:spacing w:line="360" w:lineRule="auto"/>
        <w:ind w:firstLine="0"/>
        <w:jc w:val="both"/>
      </w:pPr>
      <w:r>
        <w:rPr>
          <w:rFonts w:ascii="Times New Roman" w:hAnsi="Times New Roman"/>
          <w:sz w:val="24"/>
        </w:rPr>
        <w:t>4. Competitive Landscape</w:t>
      </w:r>
    </w:p>
    <w:p>
      <w:pPr>
        <w:spacing w:line="360" w:lineRule="auto"/>
        <w:ind w:firstLine="0"/>
        <w:jc w:val="both"/>
      </w:pPr>
      <w:r>
        <w:rPr>
          <w:rFonts w:ascii="Times New Roman" w:hAnsi="Times New Roman"/>
          <w:sz w:val="24"/>
        </w:rPr>
        <w:t>• Explanation: Although not explicitly detailed, the competitive landscape in battery technology is highly dynamic and competitive. New entrants and established players are continuously innovating, which could threaten StoreDot's market position if its technology does not offer a significant competitive advantage.</w:t>
      </w:r>
    </w:p>
    <w:p>
      <w:pPr>
        <w:spacing w:line="360" w:lineRule="auto"/>
        <w:ind w:firstLine="0"/>
        <w:jc w:val="both"/>
      </w:pPr>
      <w:r>
        <w:rPr>
          <w:rFonts w:ascii="Times New Roman" w:hAnsi="Times New Roman"/>
          <w:sz w:val="24"/>
        </w:rPr>
        <w:t>• Mitigation: Identifying and analyzing key competitors, their technological capabilities, and market strategies will help StoreDot position itself effectively. Fostering innovation and maintaining a robust IP portfolio can also provide a competitive edge.</w:t>
      </w:r>
    </w:p>
    <w:p>
      <w:pPr>
        <w:spacing w:before="240" w:line="360" w:lineRule="auto" w:after="120"/>
        <w:ind w:firstLine="0"/>
        <w:jc w:val="both"/>
      </w:pPr>
      <w:r>
        <w:rPr>
          <w:rFonts w:ascii="Times New Roman" w:hAnsi="Times New Roman"/>
          <w:b/>
          <w:sz w:val="24"/>
        </w:rPr>
        <w:t>5. Operational Risks</w:t>
      </w:r>
    </w:p>
    <w:p>
      <w:pPr>
        <w:spacing w:line="360" w:lineRule="auto"/>
        <w:ind w:firstLine="0"/>
        <w:jc w:val="both"/>
      </w:pPr>
      <w:r>
        <w:rPr>
          <w:rFonts w:ascii="Times New Roman" w:hAnsi="Times New Roman"/>
          <w:sz w:val="24"/>
        </w:rPr>
        <w:t>• Explanation: As StoreDot scales its operations, it may face challenges related to manufacturing, supply chain management, and talent acquisition. Operational inefficiencies can lead to increased costs and delays in product delivery.</w:t>
      </w:r>
    </w:p>
    <w:p>
      <w:pPr>
        <w:spacing w:line="360" w:lineRule="auto"/>
        <w:ind w:firstLine="0"/>
        <w:jc w:val="both"/>
      </w:pPr>
      <w:r>
        <w:rPr>
          <w:rFonts w:ascii="Times New Roman" w:hAnsi="Times New Roman"/>
          <w:sz w:val="24"/>
        </w:rPr>
        <w:t>• Mitigation: Developing a scalable operational strategy, investing in automation, and building strong relationships with suppliers can mitigate these risks. Additionally, attracting and retaining skilled talent will be crucial for maintaining operational excellence.</w:t>
      </w:r>
    </w:p>
    <w:p>
      <w:pPr>
        <w:spacing w:before="240" w:line="360" w:lineRule="auto" w:after="120"/>
        <w:ind w:firstLine="0"/>
        <w:jc w:val="both"/>
      </w:pPr>
      <w:r>
        <w:rPr>
          <w:rFonts w:ascii="Times New Roman" w:hAnsi="Times New Roman"/>
          <w:b/>
          <w:sz w:val="24"/>
        </w:rPr>
        <w:t>6. Regulatory Risks</w:t>
      </w:r>
    </w:p>
    <w:p>
      <w:pPr>
        <w:spacing w:line="360" w:lineRule="auto"/>
        <w:ind w:firstLine="0"/>
        <w:jc w:val="both"/>
      </w:pPr>
      <w:r>
        <w:rPr>
          <w:rFonts w:ascii="Times New Roman" w:hAnsi="Times New Roman"/>
          <w:sz w:val="24"/>
        </w:rPr>
        <w:t>• Explanation: The battery technology sector is subject to stringent regulatory requirements related to safety, environmental impact, and energy efficiency. Noncompliance can result in legal penalties and hinder market access.</w:t>
      </w:r>
    </w:p>
    <w:p>
      <w:pPr>
        <w:spacing w:line="360" w:lineRule="auto"/>
        <w:ind w:firstLine="0"/>
        <w:jc w:val="both"/>
      </w:pPr>
      <w:r>
        <w:rPr>
          <w:rFonts w:ascii="Times New Roman" w:hAnsi="Times New Roman"/>
          <w:sz w:val="24"/>
        </w:rPr>
        <w:t>• Mitigation: Staying informed about regulatory changes and engaging with regulatory bodies early in the product development process can help ensure compliance. Implementing robust quality control and safety protocols will also be essential to meet regulatory standards.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EV manufacturer looking to enhance their charging capabilities or by a tech company interested in expanding into the EV market. An IPO could also be a viable option if StoreDot continues to demonstrate technological superiority and market readiness. Recommended exit strategies could involve pursuing acquisition opportunities within the next 3-5 years or preparing for an IPO in the mid to long term. Additional information needed for a more detailed analysis includes financial projections, market traction, and potential partnerships or collaborations.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Obtain data on battery performance degradation under realworld driving and charging scenarios.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Identify the &gt;15 OEMs and manufacturing partners currently testing the 100in5 cells; understand their level of commitment and timelines.</w:t>
      </w:r>
    </w:p>
    <w:p>
      <w:pPr>
        <w:spacing w:line="360" w:lineRule="auto"/>
        <w:ind w:firstLine="0"/>
        <w:jc w:val="both"/>
      </w:pPr>
      <w:r>
        <w:rPr>
          <w:rFonts w:ascii="Times New Roman" w:hAnsi="Times New Roman"/>
          <w:sz w:val="24"/>
        </w:rPr>
        <w:t>• Request letters of intent (LOIs) or contracts from OEMs and manufacturing partners.</w:t>
      </w:r>
    </w:p>
    <w:p>
      <w:pPr>
        <w:spacing w:line="360" w:lineRule="auto"/>
        <w:ind w:firstLine="0"/>
        <w:jc w:val="both"/>
      </w:pPr>
      <w:r>
        <w:rPr>
          <w:rFonts w:ascii="Times New Roman" w:hAnsi="Times New Roman"/>
          <w:sz w:val="24"/>
        </w:rPr>
        <w:t>• Clarify manufacturing scaleup plans and capacity targets for 2024 and beyond.</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Obtain detailed cost modeling and comparison versus incumbent Liion batteries and competing technologies.</w:t>
      </w:r>
    </w:p>
    <w:p>
      <w:pPr>
        <w:spacing w:line="360" w:lineRule="auto"/>
        <w:ind w:firstLine="0"/>
        <w:jc w:val="both"/>
      </w:pPr>
      <w:r>
        <w:rPr>
          <w:rFonts w:ascii="Times New Roman" w:hAnsi="Times New Roman"/>
          <w:sz w:val="24"/>
        </w:rPr>
        <w:t>• Confirm compatibility specifics with existing Liion manufacturing lines and any required CAPEX for licensees.</w:t>
      </w:r>
    </w:p>
    <w:p>
      <w:pPr>
        <w:spacing w:line="360" w:lineRule="auto"/>
        <w:ind w:firstLine="0"/>
        <w:jc w:val="both"/>
      </w:pPr>
      <w:r>
        <w:rPr>
          <w:rFonts w:ascii="Times New Roman" w:hAnsi="Times New Roman"/>
          <w:sz w:val="24"/>
        </w:rPr>
        <w:t>• Understand supply chain dependencies, especially for silicon anode materials and semisolid state components.</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Request a competitive analysis benchmarking StoreDot’s technology against other fastcharging battery startups and incumbents.</w:t>
      </w:r>
    </w:p>
    <w:p>
      <w:pPr>
        <w:spacing w:line="360" w:lineRule="auto"/>
        <w:ind w:firstLine="0"/>
        <w:jc w:val="both"/>
      </w:pPr>
      <w:r>
        <w:rPr>
          <w:rFonts w:ascii="Times New Roman" w:hAnsi="Times New Roman"/>
          <w:sz w:val="24"/>
        </w:rPr>
        <w:t>• Clarify StoreDot’s defensibility against emerging solidstate and semisolid state battery technologies post2028.</w:t>
      </w:r>
    </w:p>
    <w:p>
      <w:pPr>
        <w:spacing w:line="360" w:lineRule="auto"/>
        <w:ind w:firstLine="0"/>
        <w:jc w:val="both"/>
      </w:pPr>
      <w:r>
        <w:rPr>
          <w:rFonts w:ascii="Times New Roman" w:hAnsi="Times New Roman"/>
          <w:sz w:val="24"/>
        </w:rPr>
        <w:t>• Commercialization &amp; GotoMarket Strategy</w:t>
      </w:r>
    </w:p>
    <w:p>
      <w:pPr>
        <w:spacing w:line="360" w:lineRule="auto"/>
        <w:ind w:firstLine="0"/>
        <w:jc w:val="both"/>
      </w:pPr>
      <w:r>
        <w:rPr>
          <w:rFonts w:ascii="Times New Roman" w:hAnsi="Times New Roman"/>
          <w:sz w:val="24"/>
        </w:rPr>
        <w:t>• Understand StoreDot’s licensing model economics and revenue projections.</w:t>
      </w:r>
    </w:p>
    <w:p>
      <w:pPr>
        <w:spacing w:line="360" w:lineRule="auto"/>
        <w:ind w:firstLine="0"/>
        <w:jc w:val="both"/>
      </w:pPr>
      <w:r>
        <w:rPr>
          <w:rFonts w:ascii="Times New Roman" w:hAnsi="Times New Roman"/>
          <w:sz w:val="24"/>
        </w:rPr>
        <w:t>• Clarify plans for charging infrastructure partnerships or integration to address charging anxiety and standardization issues.</w:t>
      </w:r>
    </w:p>
    <w:p>
      <w:pPr>
        <w:spacing w:line="360" w:lineRule="auto"/>
        <w:ind w:firstLine="0"/>
        <w:jc w:val="both"/>
      </w:pPr>
      <w:r>
        <w:rPr>
          <w:rFonts w:ascii="Times New Roman" w:hAnsi="Times New Roman"/>
          <w:sz w:val="24"/>
        </w:rPr>
        <w:t>• Assess regulatory and certification pathways for mass adoption in key markets (US, EU, China).</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 statements, burn rate, and runway.</w:t>
      </w:r>
    </w:p>
    <w:p>
      <w:pPr>
        <w:spacing w:line="360" w:lineRule="auto"/>
        <w:ind w:firstLine="0"/>
        <w:jc w:val="both"/>
      </w:pPr>
      <w:r>
        <w:rPr>
          <w:rFonts w:ascii="Times New Roman" w:hAnsi="Times New Roman"/>
          <w:sz w:val="24"/>
        </w:rPr>
        <w:t>• Understand funding needs and planned use of proceeds leading up to 2025 commercial readiness.</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Assess depth of technical and operational team beyond leadership bios.</w:t>
      </w:r>
    </w:p>
    <w:p>
      <w:pPr>
        <w:spacing w:line="360" w:lineRule="auto"/>
        <w:ind w:firstLine="0"/>
        <w:jc w:val="both"/>
      </w:pPr>
      <w:r>
        <w:rPr>
          <w:rFonts w:ascii="Times New Roman" w:hAnsi="Times New Roman"/>
          <w:sz w:val="24"/>
        </w:rPr>
        <w:t>• Review hiring plans to support scaleup and commercialization.</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checks with OEM partners.</w:t>
      </w:r>
    </w:p>
    <w:p>
      <w:pPr>
        <w:spacing w:line="360" w:lineRule="auto"/>
        <w:ind w:firstLine="0"/>
        <w:jc w:val="both"/>
      </w:pPr>
      <w:r>
        <w:rPr>
          <w:rFonts w:ascii="Times New Roman" w:hAnsi="Times New Roman"/>
          <w:sz w:val="24"/>
        </w:rPr>
        <w:t>• Engage independent battery technology experts for validation.</w:t>
      </w:r>
    </w:p>
    <w:p>
      <w:pPr>
        <w:spacing w:line="360" w:lineRule="auto"/>
        <w:ind w:firstLine="0"/>
        <w:jc w:val="both"/>
      </w:pPr>
      <w:r>
        <w:rPr>
          <w:rFonts w:ascii="Times New Roman" w:hAnsi="Times New Roman"/>
          <w:sz w:val="24"/>
        </w:rPr>
        <w:t>• Review detailed financial model and IP portfolio with legal counsel.</w:t>
      </w:r>
    </w:p>
    <w:p>
      <w:pPr>
        <w:spacing w:line="360" w:lineRule="auto"/>
        <w:ind w:firstLine="0"/>
        <w:jc w:val="both"/>
      </w:pPr>
      <w:r>
        <w:rPr>
          <w:rFonts w:ascii="Times New Roman" w:hAnsi="Times New Roman"/>
          <w:sz w:val="24"/>
        </w:rPr>
        <w:t>• If these clarifications are provided satisfactorily, proceed to site visit and pilot production audit.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If all above info is already clear and documented, state: No followup questions.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StoreDot’s silicondominant anode lithiumion battery enabling 100 miles of range in 510 minutes charging is a compelling breakthrough addressing a critical EV adoption barrier—charging time and range anxiety.</w:t>
      </w:r>
    </w:p>
    <w:p>
      <w:pPr>
        <w:spacing w:line="360" w:lineRule="auto"/>
        <w:ind w:firstLine="0"/>
        <w:jc w:val="both"/>
      </w:pPr>
      <w:r>
        <w:rPr>
          <w:rFonts w:ascii="Times New Roman" w:hAnsi="Times New Roman"/>
          <w:sz w:val="24"/>
        </w:rPr>
        <w:t>• Strong IP Position: With 78 granted US patents and 22 pending, StoreDot has built a defensible intellectual property moat, critical in a highly competitive battery tech space.</w:t>
      </w:r>
    </w:p>
    <w:p>
      <w:pPr>
        <w:spacing w:line="360" w:lineRule="auto"/>
        <w:ind w:firstLine="0"/>
        <w:jc w:val="both"/>
      </w:pPr>
      <w:r>
        <w:rPr>
          <w:rFonts w:ascii="Times New Roman" w:hAnsi="Times New Roman"/>
          <w:sz w:val="24"/>
        </w:rPr>
        <w:t>• OEM Partnerships: Engagement with over 15 OEMs and manufacturing partners signals early industry validation and potential for commercial traction.</w:t>
      </w:r>
    </w:p>
    <w:p>
      <w:pPr>
        <w:spacing w:line="360" w:lineRule="auto"/>
        <w:ind w:firstLine="0"/>
        <w:jc w:val="both"/>
      </w:pPr>
      <w:r>
        <w:rPr>
          <w:rFonts w:ascii="Times New Roman" w:hAnsi="Times New Roman"/>
          <w:sz w:val="24"/>
        </w:rPr>
        <w:t>• Licensing Business Model: Licensing scalable, dropin compatible technology reduces capital intensity and accelerates adoption by leveraging existing lithiumion manufacturing infrastructure.</w:t>
      </w:r>
    </w:p>
    <w:p>
      <w:pPr>
        <w:spacing w:line="360" w:lineRule="auto"/>
        <w:ind w:firstLine="0"/>
        <w:jc w:val="both"/>
      </w:pPr>
      <w:r>
        <w:rPr>
          <w:rFonts w:ascii="Times New Roman" w:hAnsi="Times New Roman"/>
          <w:sz w:val="24"/>
        </w:rPr>
        <w:t>• ESG Alignment: Reduced cobalt content and enabling EV adoption align well with sustainability trends and regulatory mandates, enhancing StoreDot’s appeal to ESGconscious investors.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Transparency: Absence of financial data, detailed product specs, and team background (no LinkedIn profiles, unclear prior exits) raises concerns about governance, operational maturity, and investor confidence.</w:t>
      </w:r>
    </w:p>
    <w:p>
      <w:pPr>
        <w:spacing w:line="360" w:lineRule="auto"/>
        <w:ind w:firstLine="0"/>
        <w:jc w:val="both"/>
      </w:pPr>
      <w:r>
        <w:rPr>
          <w:rFonts w:ascii="Times New Roman" w:hAnsi="Times New Roman"/>
          <w:sz w:val="24"/>
        </w:rPr>
        <w:t>• Unclear Technology Maturity: No independent validation of performance claims (charging speed, cycle life) or safety certifications provided, making technical feasibility uncertain.</w:t>
      </w:r>
    </w:p>
    <w:p>
      <w:pPr>
        <w:spacing w:line="360" w:lineRule="auto"/>
        <w:ind w:firstLine="0"/>
        <w:jc w:val="both"/>
      </w:pPr>
      <w:r>
        <w:rPr>
          <w:rFonts w:ascii="Times New Roman" w:hAnsi="Times New Roman"/>
          <w:sz w:val="24"/>
        </w:rPr>
        <w:t>• Market Size &amp; Revenue Projections Missing: No TAM/SAM/SOM data or revenue forecasts limit ability to assess commercial potential and valuation.</w:t>
      </w:r>
    </w:p>
    <w:p>
      <w:pPr>
        <w:spacing w:line="360" w:lineRule="auto"/>
        <w:ind w:firstLine="0"/>
        <w:jc w:val="both"/>
      </w:pPr>
      <w:r>
        <w:rPr>
          <w:rFonts w:ascii="Times New Roman" w:hAnsi="Times New Roman"/>
          <w:sz w:val="24"/>
        </w:rPr>
        <w:t>• Limited Operational Details: Manufacturing scaleup plans, cost structures, supply chain dependencies, and integration specifics are not disclosed.</w:t>
      </w:r>
    </w:p>
    <w:p>
      <w:pPr>
        <w:spacing w:line="360" w:lineRule="auto"/>
        <w:ind w:firstLine="0"/>
        <w:jc w:val="both"/>
      </w:pPr>
      <w:r>
        <w:rPr>
          <w:rFonts w:ascii="Times New Roman" w:hAnsi="Times New Roman"/>
          <w:sz w:val="24"/>
        </w:rPr>
        <w:t>• Competitive Landscape Understated: While competitors are listed, StoreDot’s differentiation versus solidstate and semisolidstate battery startups beyond 2028 is not fully articulated.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Adoption Catalyst: If StoreDot delivers on its promise, it could become a critical enabler for EV massmarket penetration by solving charging infrastructure bottlenecks.</w:t>
      </w:r>
    </w:p>
    <w:p>
      <w:pPr>
        <w:spacing w:line="360" w:lineRule="auto"/>
        <w:ind w:firstLine="0"/>
        <w:jc w:val="both"/>
      </w:pPr>
      <w:r>
        <w:rPr>
          <w:rFonts w:ascii="Times New Roman" w:hAnsi="Times New Roman"/>
          <w:sz w:val="24"/>
        </w:rPr>
        <w:t>• FirstMover Advantage: Early commercial readiness (target 2025) and licensing model could capture significant market share before solidstate batteries mature.</w:t>
      </w:r>
    </w:p>
    <w:p>
      <w:pPr>
        <w:spacing w:line="360" w:lineRule="auto"/>
        <w:ind w:firstLine="0"/>
        <w:jc w:val="both"/>
      </w:pPr>
      <w:r>
        <w:rPr>
          <w:rFonts w:ascii="Times New Roman" w:hAnsi="Times New Roman"/>
          <w:sz w:val="24"/>
        </w:rPr>
        <w:t>• Expansion Beyond EVs: Potential to extend technology to consumer electronics and energy storage markets, diversifying revenue streams.</w:t>
      </w:r>
    </w:p>
    <w:p>
      <w:pPr>
        <w:spacing w:line="360" w:lineRule="auto"/>
        <w:ind w:firstLine="0"/>
        <w:jc w:val="both"/>
      </w:pPr>
      <w:r>
        <w:rPr>
          <w:rFonts w:ascii="Times New Roman" w:hAnsi="Times New Roman"/>
          <w:sz w:val="24"/>
        </w:rPr>
        <w:t>• Strategic Acquisitions or IPO: Strong technology and partnerships position StoreDot for attractive exit options within 35 years.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Execution Risk: Failure to meet performance, safety, or scalability targets could delay commercialization or lead to obsolescence.</w:t>
      </w:r>
    </w:p>
    <w:p>
      <w:pPr>
        <w:spacing w:line="360" w:lineRule="auto"/>
        <w:ind w:firstLine="0"/>
        <w:jc w:val="both"/>
      </w:pPr>
      <w:r>
        <w:rPr>
          <w:rFonts w:ascii="Times New Roman" w:hAnsi="Times New Roman"/>
          <w:sz w:val="24"/>
        </w:rPr>
        <w:t>• Financial and Funding Risk: Unknown financial health and funding runway pose risks to sustained R&amp;D and scaleup.</w:t>
      </w:r>
    </w:p>
    <w:p>
      <w:pPr>
        <w:spacing w:line="360" w:lineRule="auto"/>
        <w:ind w:firstLine="0"/>
        <w:jc w:val="both"/>
      </w:pPr>
      <w:r>
        <w:rPr>
          <w:rFonts w:ascii="Times New Roman" w:hAnsi="Times New Roman"/>
          <w:sz w:val="24"/>
        </w:rPr>
        <w:t>• Competitive Disruption: Rapid advances in solidstate and alternative chemistries could erode StoreDot’s competitive edge.</w:t>
      </w:r>
    </w:p>
    <w:p>
      <w:pPr>
        <w:spacing w:line="360" w:lineRule="auto"/>
        <w:ind w:firstLine="0"/>
        <w:jc w:val="both"/>
      </w:pPr>
      <w:r>
        <w:rPr>
          <w:rFonts w:ascii="Times New Roman" w:hAnsi="Times New Roman"/>
          <w:sz w:val="24"/>
        </w:rPr>
        <w:t>• Regulatory and Certification Delays: Battery safety and environmental regulations could slow market entry.</w:t>
      </w:r>
    </w:p>
    <w:p>
      <w:pPr>
        <w:spacing w:line="360" w:lineRule="auto"/>
        <w:ind w:firstLine="0"/>
        <w:jc w:val="both"/>
      </w:pPr>
      <w:r>
        <w:rPr>
          <w:rFonts w:ascii="Times New Roman" w:hAnsi="Times New Roman"/>
          <w:sz w:val="24"/>
        </w:rPr>
        <w:t>• Operational ScaleUp Challenges: Manufacturing, supply chain, and talent acquisition risks could impact cost and delivery timelines.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third-party testing of charging speed, cycle life, safety, and real-world performance before committing capital.</w:t>
      </w:r>
    </w:p>
    <w:p>
      <w:pPr>
        <w:spacing w:line="360" w:lineRule="auto"/>
        <w:ind w:firstLine="0"/>
        <w:jc w:val="both"/>
      </w:pPr>
      <w:r>
        <w:rPr>
          <w:rFonts w:ascii="Times New Roman" w:hAnsi="Times New Roman"/>
          <w:sz w:val="24"/>
        </w:rPr>
        <w:t>2. Request Comprehensive Financials: Obtain detailed financial statements, burn rate, funding needs, and revenue projections to assess financial viability and capital requirements.</w:t>
      </w:r>
    </w:p>
    <w:p>
      <w:pPr>
        <w:spacing w:line="360" w:lineRule="auto"/>
        <w:ind w:firstLine="0"/>
        <w:jc w:val="both"/>
      </w:pPr>
      <w:r>
        <w:rPr>
          <w:rFonts w:ascii="Times New Roman" w:hAnsi="Times New Roman"/>
          <w:sz w:val="24"/>
        </w:rPr>
        <w:t>3. Clarify OEM Commitments: Secure LOIs or binding agreements from OEMs and manufacturing partners to validate market traction and licensing revenue potential.</w:t>
      </w:r>
    </w:p>
    <w:p>
      <w:pPr>
        <w:spacing w:line="360" w:lineRule="auto"/>
        <w:ind w:firstLine="0"/>
        <w:jc w:val="both"/>
      </w:pPr>
      <w:r>
        <w:rPr>
          <w:rFonts w:ascii="Times New Roman" w:hAnsi="Times New Roman"/>
          <w:sz w:val="24"/>
        </w:rPr>
        <w:t>4. Conduct Competitive Benchmarking: Evaluate StoreDot’s technology roadmap against emerging solid-state and semi-solid-state competitors, especially post-2028.</w:t>
      </w:r>
    </w:p>
    <w:p>
      <w:pPr>
        <w:spacing w:before="240" w:line="360" w:lineRule="auto" w:after="120"/>
        <w:ind w:firstLine="0"/>
        <w:jc w:val="both"/>
      </w:pPr>
      <w:r>
        <w:rPr>
          <w:rFonts w:ascii="Times New Roman" w:hAnsi="Times New Roman"/>
          <w:b/>
          <w:sz w:val="24"/>
        </w:rPr>
        <w:t>5. Assess IP Strength and Risks: Review patent scope, geographic coverage, and potential infringement risks with legal counsel.</w:t>
      </w:r>
    </w:p>
    <w:p>
      <w:pPr>
        <w:spacing w:line="360" w:lineRule="auto"/>
        <w:ind w:firstLine="0"/>
        <w:jc w:val="both"/>
      </w:pPr>
      <w:r>
        <w:rPr>
          <w:rFonts w:ascii="Times New Roman" w:hAnsi="Times New Roman"/>
          <w:sz w:val="24"/>
        </w:rPr>
        <w:t>6. Evaluate Team Depth and Execution Capability: Investigate the broader technical and operational team beyond leadership to ensure capacity for scale-up.</w:t>
      </w:r>
    </w:p>
    <w:p>
      <w:pPr>
        <w:spacing w:line="360" w:lineRule="auto"/>
        <w:ind w:firstLine="0"/>
        <w:jc w:val="both"/>
      </w:pPr>
      <w:r>
        <w:rPr>
          <w:rFonts w:ascii="Times New Roman" w:hAnsi="Times New Roman"/>
          <w:sz w:val="24"/>
        </w:rPr>
        <w:t>7. Monitor Regulatory Pathways: Understand certification timelines and compliance strategies in key markets (US, EU, China).</w:t>
      </w:r>
    </w:p>
    <w:p>
      <w:pPr>
        <w:spacing w:line="360" w:lineRule="auto"/>
        <w:ind w:firstLine="0"/>
        <w:jc w:val="both"/>
      </w:pPr>
      <w:r>
        <w:rPr>
          <w:rFonts w:ascii="Times New Roman" w:hAnsi="Times New Roman"/>
          <w:sz w:val="24"/>
        </w:rPr>
        <w:t>8. Plan for Follow-Up Due Diligence: Schedule technical deep-dives, site visits, and pilot production audits before investment decisions.</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but high-risk investment opportunity in the fast-evolving battery technology sector. Its breakthrough XFC technology and licensing model address a critical EV adoption challenge, supported by a strong patent portfolio and OEM interest. However, significant gaps in transparency, technology validation, financial data, and operational details necessitate rigorous due diligence. Investors should adopt a cautious, staged approach—validating technology and market traction before committing substantial capital. If StoreDot can demonstrate credible technical and commercial progress by 2025, it could become a valuable strategic asset in the EV ecosystem with attractive exit potential.</w:t>
      </w:r>
    </w:p>
    <w:p>
      <w:pPr>
        <w:spacing w:line="360" w:lineRule="auto"/>
        <w:ind w:firstLine="0"/>
        <w:jc w:val="both"/>
      </w:pPr>
      <w:r>
        <w:rPr>
          <w:rFonts w:ascii="Times New Roman" w:hAnsi="Times New Roman"/>
          <w:sz w:val="24"/>
        </w:rPr>
        <w:t>Bottom Line: Proceed with conditional interest, contingent on satisfactory resolution of technical, financial, and commercial due diligence items outlined above.</w:t>
      </w:r>
    </w:p>
    <w:p>
      <w:pPr>
        <w:spacing w:line="360" w:lineRule="auto"/>
        <w:ind w:firstLine="0"/>
        <w:jc w:val="both"/>
      </w:pPr>
      <w:r>
        <w:rPr>
          <w:rFonts w:ascii="Times New Roman" w:hAnsi="Times New Roman"/>
          <w:sz w:val="24"/>
        </w:rPr>
        <w:t>Generated by VC Analysis System on July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