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02:30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70D761EC" w14:textId="77777777" w:rsidR="00702FCC" w:rsidRDefault="00702FCC" w:rsidP="001A3A2E">
      <w:pPr>
        <w:spacing w:after="160" w:line="259" w:lineRule="auto"/>
        <w:jc w:val="center"/>
        <w:rPr>
          <w:rFonts w:ascii="Menlo" w:hAnsi="Menlo" w:cs="Menlo"/>
          <w:color w:val="D8DEE9"/>
          <w:sz w:val="18"/>
          <w:szCs w:val="18"/>
        </w:rPr>
      </w:pPr>
    </w:p>
    <w:p w14:paraId="6A64ACF3" w14:textId="77777777" w:rsidR="00CE797F" w:rsidRDefault="00CE797F" w:rsidP="001A3A2E">
      <w:pPr>
        <w:spacing w:after="160" w:line="259" w:lineRule="auto"/>
        <w:jc w:val="center"/>
        <w:rPr>
          <w:rFonts w:ascii="Menlo" w:hAnsi="Menlo" w:cs="Menlo"/>
          <w:color w:val="D8DEE9"/>
          <w:sz w:val="18"/>
          <w:szCs w:val="18"/>
        </w:rPr>
      </w:pPr>
    </w:p>
    <w:p w14:paraId="023D49B4" w14:textId="77777777" w:rsidR="00CE797F" w:rsidRDefault="00CE797F"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360" w:lineRule="auto"/>
        <w:jc w:val="both"/>
        <w:rPr>
          <w:lang w:val="en-US"/>
        </w:rPr>
      </w:pPr>
      <w:r>
        <w:rPr>
          <w:rFonts w:ascii="Times New Roman" w:hAnsi="Times New Roman"/>
          <w:sz w:val="24"/>
        </w:rPr>
      </w:r>
    </w:p>
    <w:p>
      <w:pPr>
        <w:spacing w:line="360" w:lineRule="auto"/>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2. COMPANY OVERVIEW (including team and website)</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3. PROBLEM STATEMENT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4. SOLUTION OVERVIEW</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5. MARKET SIZE &amp; ANALYSIS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TAM: $150,000 [1]</w:t>
      </w:r>
    </w:p>
    <w:p>
      <w:pPr>
        <w:spacing w:line="360" w:lineRule="auto"/>
        <w:jc w:val="both"/>
      </w:pPr>
      <w:r>
        <w:rPr>
          <w:rFonts w:ascii="Times New Roman" w:hAnsi="Times New Roman"/>
          <w:sz w:val="24"/>
        </w:rPr>
        <w:t>SAM: $45,000 [1]</w:t>
      </w:r>
    </w:p>
    <w:p>
      <w:pPr>
        <w:spacing w:line="360" w:lineRule="auto"/>
        <w:jc w:val="both"/>
      </w:pPr>
      <w:r>
        <w:rPr>
          <w:rFonts w:ascii="Times New Roman" w:hAnsi="Times New Roman"/>
          <w:sz w:val="24"/>
        </w:rPr>
        <w:t>SOM: $9,000 [1]</w:t>
      </w:r>
    </w:p>
    <w:p>
      <w:pPr>
        <w:spacing w:line="360" w:lineRule="auto"/>
        <w:jc w:val="both"/>
      </w:pPr>
      <w:r>
        <w:rPr>
          <w:rFonts w:ascii="Times New Roman" w:hAnsi="Times New Roman"/>
          <w:sz w:val="24"/>
        </w:rPr>
        <w:t>Market Penetration Potential: 6.0%</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6. COMPETITIVE LANDSCAPE (with identified competitors)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QuantumScape: Developing solid-state lithium-metal batteries with high energy density and fast charging capabilities..</w:t>
      </w:r>
    </w:p>
    <w:p>
      <w:pPr>
        <w:spacing w:line="360" w:lineRule="auto"/>
        <w:jc w:val="both"/>
      </w:pPr>
      <w:r>
        <w:rPr>
          <w:rFonts w:ascii="Times New Roman" w:hAnsi="Times New Roman"/>
          <w:sz w:val="24"/>
        </w:rPr>
        <w:t>Sila Nanotechnologies: Innovating silicon-based anode materials to significantly increase battery energy density and performance..</w:t>
      </w:r>
    </w:p>
    <w:p>
      <w:pPr>
        <w:spacing w:line="360" w:lineRule="auto"/>
        <w:jc w:val="both"/>
      </w:pPr>
      <w:r>
        <w:rPr>
          <w:rFonts w:ascii="Times New Roman" w:hAnsi="Times New Roman"/>
          <w:sz w:val="24"/>
        </w:rPr>
        <w:t>Solid Power: Focused on all-solid-state battery technology aimed at safer, longer-lasting batteries for electric vehicles..</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7. BUSINESS MODEL</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is a battery technology startup focused on enabling extreme fast charging (XFC) for electric vehicles (EVs) to accelerate mass adoption by addressing "charging anxiety" and infrastructure limitations. Their core business model centers on developing and licensing proprietary silicon-dominant anode lithium-ion battery cells capable of charging 100 miles of range in 5-10 minutes, with commercial readiness targeted for 2025. Revenue streams likely include licensing fees and partnerships with OEMs and battery manufacturers, as evidenced by ongoing testing with over 15 global automotive partners. Their customer segments primarily comprise EV manufacturers and battery producers aiming to differentiate through superior charging speed and reliability. StoreDot’s go-to-market strategy leverages compatibility with existing lithium-ion manufacturing lines for scalable, cost-effective integration, positioning them ahead of competing technologies like solid-state batteries. No recent pivots were noted, but their roadmap includes advancing to semi-solid and post-lithium chemistries by 2028-2032, maintaining technological leadership. (Sources: StoreDot April 2023 Corporate Overview, UBS EV Battery Market report)</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8. TECHNICAL DUE DILIGENCE</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Maturity Level: production</w:t>
      </w:r>
    </w:p>
    <w:p>
      <w:pPr>
        <w:spacing w:line="360" w:lineRule="auto"/>
        <w:jc w:val="both"/>
      </w:pPr>
      <w:r>
        <w:rPr>
          <w:rFonts w:ascii="Times New Roman" w:hAnsi="Times New Roman"/>
          <w:sz w:val="24"/>
        </w:rPr>
        <w:t>Technical Moat: StoreDot has a 3-5 years' lead on alternative solutions with extreme fast charging technology</w:t>
      </w:r>
    </w:p>
    <w:p>
      <w:pPr>
        <w:spacing w:line="360" w:lineRule="auto"/>
        <w:jc w:val="both"/>
      </w:pPr>
      <w:r>
        <w:rPr>
          <w:rFonts w:ascii="Times New Roman" w:hAnsi="Times New Roman"/>
          <w:sz w:val="24"/>
        </w:rPr>
        <w:t>Tech Stack: N/A</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9. PRODUCT DESCRIPTION</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11. TEAM &amp; MANAGEMENT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12. ESG CONSIDERATIONS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is an advanced battery technology startup focused on enabling extreme fast charging (XFC) for electric vehicles (EVs), aiming to significantly reduce charging times to about 10 minutes and thus address key barriers to EV adoption such as "charging anxiety" and infrastructure limitations. Their technology is scalable, compatible with existing lithium-ion manufacturing, and designed with sustainability in mind, including cobalt content reduction and a semi-solid, dry production approach that may lower environmental impact. Socially, StoreDot’s innovation supports the broader transition to cleaner transportation, potentially reducing greenhouse gas emissions and improving urban air quality. Governance appears strong with a leadership team experienced in automotive and tech sectors, supported by a global advisory board of EV industry experts, indicating sound strategic oversight. However, no specific information is provided on StoreDot’s internal ESG policies, labor practices, or supply chain transparency, and no recent ESG controversies or regulatory challenges were identified in available materials or web search context. Further data on their environmental footprint, social responsibility initiatives, and governance disclosures would be needed for a comprehensive ESG assessment.</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13. RISKS &amp; MITIGATIONS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Overall Risk Level: HIGH</w:t>
      </w:r>
    </w:p>
    <w:p>
      <w:pPr>
        <w:spacing w:line="360" w:lineRule="auto"/>
        <w:jc w:val="both"/>
      </w:pPr>
      <w:r>
        <w:rPr>
          <w:rFonts w:ascii="Times New Roman" w:hAnsi="Times New Roman"/>
          <w:sz w:val="24"/>
        </w:rPr>
        <w:t>IDENTIFIED RISKS:</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Financial health</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14. INVESTMENT &amp; EXIT STRATEGIES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Based on the information provided, StoreDot's extreme fast charging battery technology for EVs has significant potential for mass adoption in the growing EV market. With a 3-5 year lead on alternative solutions and ongoing testing by OEMs, StoreDot's technology is commercially ready by 2025. The company's scalable technology, robust patent portfolio, and clear roadmap for production readiness make it an attractive target for acquisition by major players in the EV industry or a potential IPO in the next few years. However, more data on financials, market penetration projections, and potential acquirers would be needed for a more detailed exit strategy analysis.</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Obtain data on battery performance degradation over time and under varied real-world conditions.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Identify the &gt;15 OEMs and manufacturing partners currently testing the 100in5 cells; understand their level of commitment and timelines.</w:t>
      </w:r>
    </w:p>
    <w:p>
      <w:pPr>
        <w:spacing w:line="360" w:lineRule="auto"/>
        <w:jc w:val="both"/>
      </w:pPr>
      <w:r>
        <w:rPr>
          <w:rFonts w:ascii="Times New Roman" w:hAnsi="Times New Roman"/>
          <w:sz w:val="24"/>
        </w:rPr>
        <w:t>- Confirm any signed commercial agreements or MoUs with OEMs and battery manufacturers.</w:t>
      </w:r>
    </w:p>
    <w:p>
      <w:pPr>
        <w:spacing w:line="360" w:lineRule="auto"/>
        <w:jc w:val="both"/>
      </w:pPr>
      <w:r>
        <w:rPr>
          <w:rFonts w:ascii="Times New Roman" w:hAnsi="Times New Roman"/>
          <w:sz w:val="24"/>
        </w:rPr>
        <w:t>- Assess manufacturing scale-up plans and readiness for 2025 commercial launch, including CAPEX requirements and supply chain risks.</w:t>
      </w:r>
    </w:p>
    <w:p>
      <w:pPr>
        <w:spacing w:line="360" w:lineRule="auto"/>
        <w:jc w:val="both"/>
      </w:pPr>
      <w:r>
        <w:rPr>
          <w:rFonts w:ascii="Times New Roman" w:hAnsi="Times New Roman"/>
          <w:sz w:val="24"/>
        </w:rPr>
        <w:t>- **Technology Scalability &amp; Cost**</w:t>
      </w:r>
    </w:p>
    <w:p>
      <w:pPr>
        <w:spacing w:line="360" w:lineRule="auto"/>
        <w:jc w:val="both"/>
      </w:pPr>
      <w:r>
        <w:rPr>
          <w:rFonts w:ascii="Times New Roman" w:hAnsi="Times New Roman"/>
          <w:sz w:val="24"/>
        </w:rPr>
        <w:t>- Request detailed cost modeling and comparison with incumbent Li-ion batteries and competing technologies.</w:t>
      </w:r>
    </w:p>
    <w:p>
      <w:pPr>
        <w:spacing w:line="360" w:lineRule="auto"/>
        <w:jc w:val="both"/>
      </w:pPr>
      <w:r>
        <w:rPr>
          <w:rFonts w:ascii="Times New Roman" w:hAnsi="Times New Roman"/>
          <w:sz w:val="24"/>
        </w:rPr>
        <w:t>- Clarify compatibility specifics with existing Li-ion production lines and any required modifications.</w:t>
      </w:r>
    </w:p>
    <w:p>
      <w:pPr>
        <w:spacing w:line="360" w:lineRule="auto"/>
        <w:jc w:val="both"/>
      </w:pPr>
      <w:r>
        <w:rPr>
          <w:rFonts w:ascii="Times New Roman" w:hAnsi="Times New Roman"/>
          <w:sz w:val="24"/>
        </w:rPr>
        <w:t>- Understand raw material sourcing strategy, especially for silicon anodes and any critical materials, and potential supply constraints.</w:t>
      </w:r>
    </w:p>
    <w:p>
      <w:pPr>
        <w:spacing w:line="360" w:lineRule="auto"/>
        <w:jc w:val="both"/>
      </w:pPr>
      <w:r>
        <w:rPr>
          <w:rFonts w:ascii="Times New Roman" w:hAnsi="Times New Roman"/>
          <w:sz w:val="24"/>
        </w:rPr>
        <w:t>- **Competitive Landscape &amp; Differentiation**</w:t>
      </w:r>
    </w:p>
    <w:p>
      <w:pPr>
        <w:spacing w:line="360" w:lineRule="auto"/>
        <w:jc w:val="both"/>
      </w:pPr>
      <w:r>
        <w:rPr>
          <w:rFonts w:ascii="Times New Roman" w:hAnsi="Times New Roman"/>
          <w:sz w:val="24"/>
        </w:rPr>
        <w:t>- Obtain a competitive analysis benchmarking StoreDot’s technology against other fast-charging battery startups and emerging solid-state battery players.</w:t>
      </w:r>
    </w:p>
    <w:p>
      <w:pPr>
        <w:spacing w:line="360" w:lineRule="auto"/>
        <w:jc w:val="both"/>
      </w:pPr>
      <w:r>
        <w:rPr>
          <w:rFonts w:ascii="Times New Roman" w:hAnsi="Times New Roman"/>
          <w:sz w:val="24"/>
        </w:rPr>
        <w:t>- Clarify StoreDot’s defensibility and barriers to entry given the 3-5 year lead claim.</w:t>
      </w:r>
    </w:p>
    <w:p>
      <w:pPr>
        <w:spacing w:line="360" w:lineRule="auto"/>
        <w:jc w:val="both"/>
      </w:pPr>
      <w:r>
        <w:rPr>
          <w:rFonts w:ascii="Times New Roman" w:hAnsi="Times New Roman"/>
          <w:sz w:val="24"/>
        </w:rPr>
        <w:t>- **Regulatory &amp; Safety**</w:t>
      </w:r>
    </w:p>
    <w:p>
      <w:pPr>
        <w:spacing w:line="360" w:lineRule="auto"/>
        <w:jc w:val="both"/>
      </w:pPr>
      <w:r>
        <w:rPr>
          <w:rFonts w:ascii="Times New Roman" w:hAnsi="Times New Roman"/>
          <w:sz w:val="24"/>
        </w:rPr>
        <w:t>- Request safety testing data and certifications relevant to automotive standards.</w:t>
      </w:r>
    </w:p>
    <w:p>
      <w:pPr>
        <w:spacing w:line="360" w:lineRule="auto"/>
        <w:jc w:val="both"/>
      </w:pPr>
      <w:r>
        <w:rPr>
          <w:rFonts w:ascii="Times New Roman" w:hAnsi="Times New Roman"/>
          <w:sz w:val="24"/>
        </w:rPr>
        <w:t>- Understand any regulatory hurdles or approvals required for commercialization in key markets (US, EU, China).</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Request detailed financial projections, including revenue streams from licensing vs. direct sales.</w:t>
      </w:r>
    </w:p>
    <w:p>
      <w:pPr>
        <w:spacing w:line="360" w:lineRule="auto"/>
        <w:jc w:val="both"/>
      </w:pPr>
      <w:r>
        <w:rPr>
          <w:rFonts w:ascii="Times New Roman" w:hAnsi="Times New Roman"/>
          <w:sz w:val="24"/>
        </w:rPr>
        <w:t>- Clarify planned go-to-market strategy and pricing model.</w:t>
      </w:r>
    </w:p>
    <w:p>
      <w:pPr>
        <w:spacing w:line="360" w:lineRule="auto"/>
        <w:jc w:val="both"/>
      </w:pPr>
      <w:r>
        <w:rPr>
          <w:rFonts w:ascii="Times New Roman" w:hAnsi="Times New Roman"/>
          <w:sz w:val="24"/>
        </w:rPr>
        <w:t>- Understand funding history, current runway, and capital needs for scaling production.</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Assess depth of technical and commercial team beyond leadership bios.</w:t>
      </w:r>
    </w:p>
    <w:p>
      <w:pPr>
        <w:spacing w:line="360" w:lineRule="auto"/>
        <w:jc w:val="both"/>
      </w:pPr>
      <w:r>
        <w:rPr>
          <w:rFonts w:ascii="Times New Roman" w:hAnsi="Times New Roman"/>
          <w:sz w:val="24"/>
        </w:rPr>
        <w:t>- Clarify hiring plans and potential gaps in scaling operations globally.</w:t>
      </w:r>
    </w:p>
    <w:p>
      <w:pPr>
        <w:spacing w:line="360" w:lineRule="auto"/>
        <w:jc w:val="both"/>
      </w:pPr>
      <w:r>
        <w:rPr>
          <w:rFonts w:ascii="Times New Roman" w:hAnsi="Times New Roman"/>
          <w:sz w:val="24"/>
        </w:rPr>
        <w:t>- **Next Steps**</w:t>
      </w:r>
    </w:p>
    <w:p>
      <w:pPr>
        <w:spacing w:line="360" w:lineRule="auto"/>
        <w:jc w:val="both"/>
      </w:pPr>
      <w:r>
        <w:rPr>
          <w:rFonts w:ascii="Times New Roman" w:hAnsi="Times New Roman"/>
          <w:sz w:val="24"/>
        </w:rPr>
        <w:t>- Schedule technical deep-dive with R&amp;D and CTO.</w:t>
      </w:r>
    </w:p>
    <w:p>
      <w:pPr>
        <w:spacing w:line="360" w:lineRule="auto"/>
        <w:jc w:val="both"/>
      </w:pPr>
      <w:r>
        <w:rPr>
          <w:rFonts w:ascii="Times New Roman" w:hAnsi="Times New Roman"/>
          <w:sz w:val="24"/>
        </w:rPr>
        <w:t>- Conduct reference checks with OEM partners.</w:t>
      </w:r>
    </w:p>
    <w:p>
      <w:pPr>
        <w:spacing w:line="360" w:lineRule="auto"/>
        <w:jc w:val="both"/>
      </w:pPr>
      <w:r>
        <w:rPr>
          <w:rFonts w:ascii="Times New Roman" w:hAnsi="Times New Roman"/>
          <w:sz w:val="24"/>
        </w:rPr>
        <w:t>- Engage independent battery experts for technology due diligence.</w:t>
      </w:r>
    </w:p>
    <w:p>
      <w:pPr>
        <w:spacing w:line="360" w:lineRule="auto"/>
        <w:jc w:val="both"/>
      </w:pPr>
      <w:r>
        <w:rPr>
          <w:rFonts w:ascii="Times New Roman" w:hAnsi="Times New Roman"/>
          <w:sz w:val="24"/>
        </w:rPr>
        <w:t>- Review detailed financial model and unit economics.</w:t>
      </w:r>
    </w:p>
    <w:p>
      <w:pPr>
        <w:spacing w:line="360" w:lineRule="auto"/>
        <w:jc w:val="both"/>
      </w:pPr>
      <w:r>
        <w:rPr>
          <w:rFonts w:ascii="Times New Roman" w:hAnsi="Times New Roman"/>
          <w:sz w:val="24"/>
        </w:rPr>
        <w:t>- Plan site visit to pilot manufacturing/testing facilities.</w:t>
      </w:r>
    </w:p>
    <w:p>
      <w:pPr>
        <w:spacing w:line="360" w:lineRule="auto"/>
        <w:jc w:val="both"/>
      </w:pPr>
      <w:r>
        <w:rPr>
          <w:rFonts w:ascii="Times New Roman" w:hAnsi="Times New Roman"/>
          <w:sz w:val="24"/>
        </w:rPr>
        <w:t>No follow-up questions if all above are satisfactorily addressed.</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16. FIGURES &amp; VISUALS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No figures extracted.</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APPENDIX: FINANCIALS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Data not provided by company as of July 13, 2025</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[1] Source: StoreDot April 2023 Corporate Overview</w:t>
      </w:r>
    </w:p>
    <w:p>
      <w:pPr>
        <w:spacing w:line="360" w:lineRule="auto"/>
        <w:jc w:val="both"/>
      </w:pPr>
      <w:r>
        <w:rPr>
          <w:rFonts w:ascii="Times New Roman" w:hAnsi="Times New Roman"/>
          <w:sz w:val="24"/>
        </w:rPr>
      </w:r>
    </w:p>
    <w:p/>
    <w:p/>
    <w:p/>
    <w:p/>
    <w:p/>
    <w:p/>
    <w:p/>
    <w:p/>
    <w:p/>
    <w:p/>
    <w:p/>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02FA" w14:textId="77777777" w:rsidR="00A60FB3" w:rsidRDefault="00A60FB3">
      <w:r>
        <w:separator/>
      </w:r>
    </w:p>
  </w:endnote>
  <w:endnote w:type="continuationSeparator" w:id="0">
    <w:p w14:paraId="754131E9" w14:textId="77777777" w:rsidR="00A60FB3" w:rsidRDefault="00A60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D519" w14:textId="77777777" w:rsidR="00A60FB3" w:rsidRDefault="00A60FB3">
      <w:r>
        <w:separator/>
      </w:r>
    </w:p>
  </w:footnote>
  <w:footnote w:type="continuationSeparator" w:id="0">
    <w:p w14:paraId="51148DB3" w14:textId="77777777" w:rsidR="00A60FB3" w:rsidRDefault="00A60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63</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9</cp:revision>
  <cp:lastPrinted>2012-08-22T12:07:00Z</cp:lastPrinted>
  <dcterms:created xsi:type="dcterms:W3CDTF">2025-07-11T11:27:00Z</dcterms:created>
  <dcterms:modified xsi:type="dcterms:W3CDTF">2025-07-13T09:10:00Z</dcterms:modified>
</cp:coreProperties>
</file>