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17A5DC13" w14:textId="4F8463B5" w:rsidR="00702FCC" w:rsidRPr="00703322" w:rsidRDefault="00702FCC" w:rsidP="00686276">
      <w:pPr>
        <w:spacing w:after="160" w:line="259" w:lineRule="auto"/>
        <w:jc w:val="center"/>
        <w:rPr>
          <w:lang w:val="en-US"/>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02:37 PM</w:t>
      </w:r>
    </w:p>
    <w:p w14:paraId="014DC5EA" w14:textId="77777777" w:rsidR="00702FCC" w:rsidRDefault="00702FCC" w:rsidP="001A3A2E">
      <w:pPr>
        <w:spacing w:after="160" w:line="259" w:lineRule="auto"/>
        <w:jc w:val="center"/>
        <w:rPr>
          <w:rFonts w:ascii="Menlo" w:hAnsi="Menlo" w:cs="Menlo"/>
          <w:color w:val="D8DEE9"/>
          <w:sz w:val="18"/>
          <w:szCs w:val="18"/>
        </w:rPr>
      </w:pPr>
    </w:p>
    <w:p w14:paraId="7F965642" w14:textId="77777777" w:rsidR="00702FCC" w:rsidRDefault="00702FCC" w:rsidP="001A3A2E">
      <w:pPr>
        <w:spacing w:after="160" w:line="259" w:lineRule="auto"/>
        <w:jc w:val="center"/>
        <w:rPr>
          <w:rFonts w:ascii="Menlo" w:hAnsi="Menlo" w:cs="Menlo"/>
          <w:color w:val="D8DEE9"/>
          <w:sz w:val="18"/>
          <w:szCs w:val="18"/>
        </w:rPr>
      </w:pPr>
    </w:p>
    <w:p w14:paraId="2B894E95" w14:textId="77777777" w:rsidR="00702FCC" w:rsidRDefault="00702FCC" w:rsidP="001A3A2E">
      <w:pPr>
        <w:spacing w:after="160" w:line="259" w:lineRule="auto"/>
        <w:jc w:val="center"/>
        <w:rPr>
          <w:rFonts w:ascii="Menlo" w:hAnsi="Menlo" w:cs="Menlo"/>
          <w:color w:val="D8DEE9"/>
          <w:sz w:val="18"/>
          <w:szCs w:val="18"/>
        </w:rPr>
      </w:pPr>
    </w:p>
    <w:p w14:paraId="6E22BD3D" w14:textId="77777777" w:rsidR="00702FCC" w:rsidRDefault="00702FCC" w:rsidP="001A3A2E">
      <w:pPr>
        <w:spacing w:after="160" w:line="259" w:lineRule="auto"/>
        <w:jc w:val="center"/>
        <w:rPr>
          <w:rFonts w:ascii="Menlo" w:hAnsi="Menlo" w:cs="Menlo"/>
          <w:color w:val="D8DEE9"/>
          <w:sz w:val="18"/>
          <w:szCs w:val="18"/>
        </w:rPr>
      </w:pPr>
    </w:p>
    <w:p w14:paraId="5B842F05" w14:textId="77777777" w:rsidR="00702FCC" w:rsidRDefault="00702FCC" w:rsidP="001A3A2E">
      <w:pPr>
        <w:spacing w:after="160" w:line="259" w:lineRule="auto"/>
        <w:jc w:val="center"/>
        <w:rPr>
          <w:rFonts w:ascii="Menlo" w:hAnsi="Menlo" w:cs="Menlo"/>
          <w:color w:val="D8DEE9"/>
          <w:sz w:val="18"/>
          <w:szCs w:val="18"/>
        </w:rPr>
      </w:pPr>
    </w:p>
    <w:p w14:paraId="76AD162C" w14:textId="77777777" w:rsidR="00702FCC" w:rsidRDefault="00702FCC" w:rsidP="001A3A2E">
      <w:pPr>
        <w:spacing w:after="160" w:line="259" w:lineRule="auto"/>
        <w:jc w:val="center"/>
        <w:rPr>
          <w:rFonts w:ascii="Menlo" w:hAnsi="Menlo" w:cs="Menlo"/>
          <w:color w:val="D8DEE9"/>
          <w:sz w:val="18"/>
          <w:szCs w:val="18"/>
        </w:rPr>
      </w:pPr>
    </w:p>
    <w:p w14:paraId="3C39B1ED" w14:textId="77777777" w:rsidR="00702FCC" w:rsidRDefault="00702FCC" w:rsidP="001A3A2E">
      <w:pPr>
        <w:spacing w:after="160" w:line="259" w:lineRule="auto"/>
        <w:jc w:val="center"/>
        <w:rPr>
          <w:rFonts w:ascii="Menlo" w:hAnsi="Menlo" w:cs="Menlo"/>
          <w:color w:val="D8DEE9"/>
          <w:sz w:val="18"/>
          <w:szCs w:val="18"/>
        </w:rPr>
      </w:pPr>
    </w:p>
    <w:p w14:paraId="2B1E280D" w14:textId="77777777" w:rsidR="00702FCC" w:rsidRDefault="00702FCC" w:rsidP="001A3A2E">
      <w:pPr>
        <w:spacing w:after="160" w:line="259" w:lineRule="auto"/>
        <w:jc w:val="center"/>
        <w:rPr>
          <w:rFonts w:ascii="Menlo" w:hAnsi="Menlo" w:cs="Menlo"/>
          <w:color w:val="D8DEE9"/>
          <w:sz w:val="18"/>
          <w:szCs w:val="18"/>
        </w:rPr>
      </w:pPr>
    </w:p>
    <w:p w14:paraId="161CFFB7" w14:textId="77777777" w:rsidR="00702FCC" w:rsidRDefault="00702FCC" w:rsidP="001A3A2E">
      <w:pPr>
        <w:spacing w:after="160" w:line="259" w:lineRule="auto"/>
        <w:jc w:val="center"/>
        <w:rPr>
          <w:rFonts w:ascii="Menlo" w:hAnsi="Menlo" w:cs="Menlo"/>
          <w:color w:val="D8DEE9"/>
          <w:sz w:val="18"/>
          <w:szCs w:val="18"/>
        </w:rPr>
      </w:pPr>
    </w:p>
    <w:p w14:paraId="7399C058" w14:textId="77777777" w:rsidR="00702FCC" w:rsidRDefault="00702FCC" w:rsidP="001A3A2E">
      <w:pPr>
        <w:spacing w:after="160" w:line="259" w:lineRule="auto"/>
        <w:jc w:val="center"/>
        <w:rPr>
          <w:rFonts w:ascii="Menlo" w:hAnsi="Menlo" w:cs="Menlo"/>
          <w:color w:val="D8DEE9"/>
          <w:sz w:val="18"/>
          <w:szCs w:val="18"/>
        </w:rPr>
      </w:pPr>
    </w:p>
    <w:p w14:paraId="5D7F161C" w14:textId="77777777" w:rsidR="00702FCC" w:rsidRDefault="00702FCC" w:rsidP="001A3A2E">
      <w:pPr>
        <w:spacing w:after="160" w:line="259" w:lineRule="auto"/>
        <w:jc w:val="center"/>
        <w:rPr>
          <w:rFonts w:ascii="Menlo" w:hAnsi="Menlo" w:cs="Menlo"/>
          <w:color w:val="D8DEE9"/>
          <w:sz w:val="18"/>
          <w:szCs w:val="18"/>
        </w:rPr>
      </w:pPr>
    </w:p>
    <w:p w14:paraId="1EFE5BE7" w14:textId="77777777" w:rsidR="00702FCC" w:rsidRDefault="00702FCC" w:rsidP="001A3A2E">
      <w:pPr>
        <w:spacing w:after="160" w:line="259" w:lineRule="auto"/>
        <w:jc w:val="center"/>
        <w:rPr>
          <w:rFonts w:ascii="Menlo" w:hAnsi="Menlo" w:cs="Menlo"/>
          <w:color w:val="D8DEE9"/>
          <w:sz w:val="18"/>
          <w:szCs w:val="18"/>
        </w:rPr>
      </w:pPr>
    </w:p>
    <w:p w14:paraId="050316B2" w14:textId="77777777" w:rsidR="00702FCC" w:rsidRDefault="00702FCC" w:rsidP="001A3A2E">
      <w:pPr>
        <w:spacing w:after="160" w:line="259" w:lineRule="auto"/>
        <w:jc w:val="center"/>
        <w:rPr>
          <w:rFonts w:ascii="Menlo" w:hAnsi="Menlo" w:cs="Menlo"/>
          <w:color w:val="D8DEE9"/>
          <w:sz w:val="18"/>
          <w:szCs w:val="18"/>
        </w:rPr>
      </w:pPr>
    </w:p>
    <w:p w14:paraId="0E6225F1" w14:textId="246BB6DF" w:rsidR="00702FCC" w:rsidRDefault="00702FCC" w:rsidP="00702FCC">
      <w:pPr>
        <w:spacing w:after="160" w:line="360" w:lineRule="auto"/>
        <w:jc w:val="both"/>
        <w:rPr>
          <w:lang w:val="en-US"/>
        </w:rPr>
      </w:pPr>
      <w:r>
        <w:rPr>
          <w:rFonts w:ascii="Times New Roman" w:hAnsi="Times New Roman"/>
          <w:sz w:val="24"/>
        </w:rPr>
      </w:r>
    </w:p>
    <w:p>
      <w:pPr>
        <w:spacing w:line="360" w:lineRule="auto"/>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Section not available.</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2. COMPANY OVERVIEW (including team and website)</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w:t>
      </w:r>
    </w:p>
    <w:p>
      <w:pPr>
        <w:spacing w:line="360" w:lineRule="auto"/>
        <w:jc w:val="both"/>
      </w:pPr>
      <w:r>
        <w:rPr>
          <w:rFonts w:ascii="Times New Roman" w:hAnsi="Times New Roman"/>
          <w:sz w:val="24"/>
        </w:rPr>
        <w:t>Team: Doron Myersdorf</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3. PROBLEM STATEMENT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Section not available.</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4. SOLUTION OVERVIEW</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Section not available.</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5. MARKET SIZE &amp; ANALYSIS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TAM: $120,000 [1]</w:t>
      </w:r>
    </w:p>
    <w:p>
      <w:pPr>
        <w:spacing w:line="360" w:lineRule="auto"/>
        <w:jc w:val="both"/>
      </w:pPr>
      <w:r>
        <w:rPr>
          <w:rFonts w:ascii="Times New Roman" w:hAnsi="Times New Roman"/>
          <w:sz w:val="24"/>
        </w:rPr>
        <w:t>SAM: $30,000 [1]</w:t>
      </w:r>
    </w:p>
    <w:p>
      <w:pPr>
        <w:spacing w:line="360" w:lineRule="auto"/>
        <w:jc w:val="both"/>
      </w:pPr>
      <w:r>
        <w:rPr>
          <w:rFonts w:ascii="Times New Roman" w:hAnsi="Times New Roman"/>
          <w:sz w:val="24"/>
        </w:rPr>
        <w:t>SOM: $5,000 [1]</w:t>
      </w:r>
    </w:p>
    <w:p>
      <w:pPr>
        <w:spacing w:line="360" w:lineRule="auto"/>
        <w:jc w:val="both"/>
      </w:pPr>
      <w:r>
        <w:rPr>
          <w:rFonts w:ascii="Times New Roman" w:hAnsi="Times New Roman"/>
          <w:sz w:val="24"/>
        </w:rPr>
        <w:t>Market Penetration Potential: 4.2%</w:t>
      </w:r>
    </w:p>
    <w:p>
      <w:pPr>
        <w:spacing w:line="360" w:lineRule="auto"/>
        <w:jc w:val="both"/>
      </w:pPr>
      <w:r>
        <w:rPr>
          <w:rFonts w:ascii="Times New Roman" w:hAnsi="Times New Roman"/>
          <w:sz w:val="24"/>
        </w:rPr>
        <w:t>Battery Technology</w:t>
      </w:r>
    </w:p>
    <w:p>
      <w:pPr>
        <w:spacing w:line="360" w:lineRule="auto"/>
        <w:jc w:val="both"/>
      </w:pPr>
      <w:r>
        <w:rPr>
          <w:rFonts w:ascii="Times New Roman" w:hAnsi="Times New Roman"/>
          <w:sz w:val="24"/>
        </w:rPr>
        <w:t>Section not available.</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6. COMPETITIVE LANDSCAPE (with identified competitors)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QuantumScape: Developing solid-state lithium-metal batteries with higher energy density and faster charging capabilities..</w:t>
      </w:r>
    </w:p>
    <w:p>
      <w:pPr>
        <w:spacing w:line="360" w:lineRule="auto"/>
        <w:jc w:val="both"/>
      </w:pPr>
      <w:r>
        <w:rPr>
          <w:rFonts w:ascii="Times New Roman" w:hAnsi="Times New Roman"/>
          <w:sz w:val="24"/>
        </w:rPr>
        <w:t>Sila Nanotechnologies: Innovating silicon-based anode materials to improve battery energy density and lifespan..</w:t>
      </w:r>
    </w:p>
    <w:p>
      <w:pPr>
        <w:spacing w:line="360" w:lineRule="auto"/>
        <w:jc w:val="both"/>
      </w:pPr>
      <w:r>
        <w:rPr>
          <w:rFonts w:ascii="Times New Roman" w:hAnsi="Times New Roman"/>
          <w:sz w:val="24"/>
        </w:rPr>
        <w:t>Solid Power: Focused on all-solid-state batteries targeting automotive applications with enhanced safety and performance..</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7. BUSINESS MODEL</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is a battery technology startup focused on enabling extreme fast charging (XFC) for electric vehicles (EVs) to accelerate mass adoption by addressing "charging anxiety" and infrastructure limitations. Their core business model centers on developing and licensing proprietary silicon-dominant anode lithium-ion battery cells capable of charging 100 miles of range in 5 minutes ("100in5"), with commercial readiness targeted for 2025. Revenue streams primarily come from licensing their scalable, drop-in compatible battery technology to OEMs and manufacturing partners, with over 15 such collaborations underway. Their customer segments include EV manufacturers and battery producers seeking to differentiate via superior charging speed and battery longevity. StoreDot’s go-to-market strategy leverages its strong IP portfolio (78 granted US patents), industry partnerships, and a leadership team with deep automotive and semiconductor expertise to integrate their technology into existing lithium-ion production lines, ensuring cost-effective scalability. Recent materials indicate no major pivots but emphasize a clear roadmap toward semi-solid and post-lithium chemistries by 2028 and 2032, respectively, maintaining a technology lead over competing battery innovations.</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Sources: StoreDot April 2023 Corporate Overview; UBS Global EV Battery Makers report (cited); StoreDot patent disclosures.</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8. TECHNICAL DUE DILIGENCE</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Maturity Level: production</w:t>
      </w:r>
    </w:p>
    <w:p>
      <w:pPr>
        <w:spacing w:line="360" w:lineRule="auto"/>
        <w:jc w:val="both"/>
      </w:pPr>
      <w:r>
        <w:rPr>
          <w:rFonts w:ascii="Times New Roman" w:hAnsi="Times New Roman"/>
          <w:sz w:val="24"/>
        </w:rPr>
        <w:t>Technical Moat: StoreDot has a 3-5 years' lead on alternative solutions and a strong patent portfolio</w:t>
      </w:r>
    </w:p>
    <w:p>
      <w:pPr>
        <w:spacing w:line="360" w:lineRule="auto"/>
        <w:jc w:val="both"/>
      </w:pPr>
      <w:r>
        <w:rPr>
          <w:rFonts w:ascii="Times New Roman" w:hAnsi="Times New Roman"/>
          <w:sz w:val="24"/>
        </w:rPr>
        <w:t>Tech Stack: N/A</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9. PRODUCT DESCRIPTION</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Section not available.</w:t>
      </w:r>
    </w:p>
    <w:p>
      <w:pPr>
        <w:spacing w:line="360" w:lineRule="auto"/>
        <w:jc w:val="both"/>
      </w:pPr>
      <w:r>
        <w:rPr>
          <w:rFonts w:ascii="Times New Roman" w:hAnsi="Times New Roman"/>
          <w:sz w:val="24"/>
        </w:rPr>
        <w:t>10. FINANCIAL ANALYSIS (with commentary on data availability)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Section not available. See Appendix for details.</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11. TEAM &amp; MANAGEMENT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12. ESG CONSIDERATIONS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times of 10 minutes for 100 miles, with over 1200 fast charge cycles without degradation, and is compatible with existing Li-ion manufacturing, supporting scalability and cost efficiency. ESG considerations include a focus on sustainability through cobalt content reduction and a semi-solid, dry production approach, which may reduce environmental impact compared to traditional batteries. Socially, the technology aims to alleviate "charging anxiety," improving EV user experience and potentially increasing EV adoption, contributing to reduced emissions. Governance appears strong with an experienced leadership team and advisory board from automotive and battery sectors, although no specific ESG governance policies or controversies were disclosed. No recent ESG controversies or regulatory issues were found in available data. Further details on supply chain ethics, lifecycle environmental impact, and diversity/inclusion policies are missing for a comprehensive ESG assessment.</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13. RISKS &amp; MITIGATIONS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Overall Risk Level: HIGH</w:t>
      </w:r>
    </w:p>
    <w:p>
      <w:pPr>
        <w:spacing w:line="360" w:lineRule="auto"/>
        <w:jc w:val="both"/>
      </w:pPr>
      <w:r>
        <w:rPr>
          <w:rFonts w:ascii="Times New Roman" w:hAnsi="Times New Roman"/>
          <w:sz w:val="24"/>
        </w:rPr>
        <w:t>IDENTIFIED RISKS:</w:t>
      </w:r>
    </w:p>
    <w:p>
      <w:pPr>
        <w:spacing w:line="360" w:lineRule="auto"/>
        <w:jc w:val="both"/>
      </w:pPr>
      <w:r>
        <w:rPr>
          <w:rFonts w:ascii="Times New Roman" w:hAnsi="Times New Roman"/>
          <w:sz w:val="24"/>
        </w:rPr>
        <w:t>– Market competition</w:t>
      </w:r>
    </w:p>
    <w:p>
      <w:pPr>
        <w:spacing w:line="360" w:lineRule="auto"/>
        <w:jc w:val="both"/>
      </w:pPr>
      <w:r>
        <w:rPr>
          <w:rFonts w:ascii="Times New Roman" w:hAnsi="Times New Roman"/>
          <w:sz w:val="24"/>
        </w:rPr>
        <w:t>– Financial health</w:t>
      </w:r>
    </w:p>
    <w:p>
      <w:pPr>
        <w:spacing w:line="360" w:lineRule="auto"/>
        <w:jc w:val="both"/>
      </w:pPr>
      <w:r>
        <w:rPr>
          <w:rFonts w:ascii="Times New Roman" w:hAnsi="Times New Roman"/>
          <w:sz w:val="24"/>
        </w:rPr>
        <w:t>– Regulatory risks</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14. INVESTMENT &amp; EXIT STRATEGIES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Based on the information provided, StoreDot's extreme fast charging battery technology seems to have strong potential for acquisition by major electric vehicle manufacturers looking to enhance their charging capabilities. With a 3-5 year lead on alternative solutions and ongoing testing by OEMs, an acquisition within the next few years could be likely. Additionally, StoreDot's technology roadmap and leadership team suggest a potential IPO in the mid to long term, depending on the successful commercialization of their technology. Further details on current partnerships, financial projections, and market traction would be needed to provide a more comprehensive analysis of potential exit scenarios.</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15. FOLLOW-UP QUESTIONS &amp; NEXT STEPS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results validating the 10-minute charging claim and &gt;1200 cycle life under extreme fast charging conditions.</w:t>
      </w:r>
    </w:p>
    <w:p>
      <w:pPr>
        <w:spacing w:line="360" w:lineRule="auto"/>
        <w:jc w:val="both"/>
      </w:pPr>
      <w:r>
        <w:rPr>
          <w:rFonts w:ascii="Times New Roman" w:hAnsi="Times New Roman"/>
          <w:sz w:val="24"/>
        </w:rPr>
        <w:t>- Clarify the scope and strength of the 78 granted and 22 pending patents—are there any freedom-to-operate risks or potential infringement issues?</w:t>
      </w:r>
    </w:p>
    <w:p>
      <w:pPr>
        <w:spacing w:line="360" w:lineRule="auto"/>
        <w:jc w:val="both"/>
      </w:pPr>
      <w:r>
        <w:rPr>
          <w:rFonts w:ascii="Times New Roman" w:hAnsi="Times New Roman"/>
          <w:sz w:val="24"/>
        </w:rPr>
        <w:t>- Obtain data on battery safety performance, especially thermal runaway and degradation under XFC conditions.</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Identify the &gt;15 OEMs and manufacturing partners currently testing the 100in5 cells; understand their level of commitment (pilot, qualification, or commercial agreement).</w:t>
      </w:r>
    </w:p>
    <w:p>
      <w:pPr>
        <w:spacing w:line="360" w:lineRule="auto"/>
        <w:jc w:val="both"/>
      </w:pPr>
      <w:r>
        <w:rPr>
          <w:rFonts w:ascii="Times New Roman" w:hAnsi="Times New Roman"/>
          <w:sz w:val="24"/>
        </w:rPr>
        <w:t>- Confirm timelines and scale-up plans for commercial production readiness in 2024 and 2025.</w:t>
      </w:r>
    </w:p>
    <w:p>
      <w:pPr>
        <w:spacing w:line="360" w:lineRule="auto"/>
        <w:jc w:val="both"/>
      </w:pPr>
      <w:r>
        <w:rPr>
          <w:rFonts w:ascii="Times New Roman" w:hAnsi="Times New Roman"/>
          <w:sz w:val="24"/>
        </w:rPr>
        <w:t>- Assess the licensing model details: exclusivity, royalties, and geographic or segment restrictions.</w:t>
      </w:r>
    </w:p>
    <w:p>
      <w:pPr>
        <w:spacing w:line="360" w:lineRule="auto"/>
        <w:jc w:val="both"/>
      </w:pPr>
      <w:r>
        <w:rPr>
          <w:rFonts w:ascii="Times New Roman" w:hAnsi="Times New Roman"/>
          <w:sz w:val="24"/>
        </w:rPr>
        <w:t>- **Technology Scalability &amp; Cost**</w:t>
      </w:r>
    </w:p>
    <w:p>
      <w:pPr>
        <w:spacing w:line="360" w:lineRule="auto"/>
        <w:jc w:val="both"/>
      </w:pPr>
      <w:r>
        <w:rPr>
          <w:rFonts w:ascii="Times New Roman" w:hAnsi="Times New Roman"/>
          <w:sz w:val="24"/>
        </w:rPr>
        <w:t>- Request detailed cost modeling comparing StoreDot’s solution to incumbent Li-ion and emerging battery technologies at scale.</w:t>
      </w:r>
    </w:p>
    <w:p>
      <w:pPr>
        <w:spacing w:line="360" w:lineRule="auto"/>
        <w:jc w:val="both"/>
      </w:pPr>
      <w:r>
        <w:rPr>
          <w:rFonts w:ascii="Times New Roman" w:hAnsi="Times New Roman"/>
          <w:sz w:val="24"/>
        </w:rPr>
        <w:t>- Verify compatibility claims with existing Li-ion manufacturing lines—any required CAPEX upgrades or yield impacts?</w:t>
      </w:r>
    </w:p>
    <w:p>
      <w:pPr>
        <w:spacing w:line="360" w:lineRule="auto"/>
        <w:jc w:val="both"/>
      </w:pPr>
      <w:r>
        <w:rPr>
          <w:rFonts w:ascii="Times New Roman" w:hAnsi="Times New Roman"/>
          <w:sz w:val="24"/>
        </w:rPr>
        <w:t>- Understand supply chain dependencies, especially for silicon anode materials and semi-solid electrolyte components.</w:t>
      </w:r>
    </w:p>
    <w:p>
      <w:pPr>
        <w:spacing w:line="360" w:lineRule="auto"/>
        <w:jc w:val="both"/>
      </w:pPr>
      <w:r>
        <w:rPr>
          <w:rFonts w:ascii="Times New Roman" w:hAnsi="Times New Roman"/>
          <w:sz w:val="24"/>
        </w:rPr>
        <w:t>- **Competitive Landscape &amp; Differentiation**</w:t>
      </w:r>
    </w:p>
    <w:p>
      <w:pPr>
        <w:spacing w:line="360" w:lineRule="auto"/>
        <w:jc w:val="both"/>
      </w:pPr>
      <w:r>
        <w:rPr>
          <w:rFonts w:ascii="Times New Roman" w:hAnsi="Times New Roman"/>
          <w:sz w:val="24"/>
        </w:rPr>
        <w:t>- Clarify how StoreDot’s technology compares to other fast-charging battery startups and solid-state battery developers in terms of performance, cost, and readiness.</w:t>
      </w:r>
    </w:p>
    <w:p>
      <w:pPr>
        <w:spacing w:line="360" w:lineRule="auto"/>
        <w:jc w:val="both"/>
      </w:pPr>
      <w:r>
        <w:rPr>
          <w:rFonts w:ascii="Times New Roman" w:hAnsi="Times New Roman"/>
          <w:sz w:val="24"/>
        </w:rPr>
        <w:t>- Explore potential risks from emerging technologies that could leapfrog StoreDot’s roadmap post-2028.</w:t>
      </w:r>
    </w:p>
    <w:p>
      <w:pPr>
        <w:spacing w:line="360" w:lineRule="auto"/>
        <w:jc w:val="both"/>
      </w:pPr>
      <w:r>
        <w:rPr>
          <w:rFonts w:ascii="Times New Roman" w:hAnsi="Times New Roman"/>
          <w:sz w:val="24"/>
        </w:rPr>
        <w:t>- **Market Adoption &amp; Infrastructure**</w:t>
      </w:r>
    </w:p>
    <w:p>
      <w:pPr>
        <w:spacing w:line="360" w:lineRule="auto"/>
        <w:jc w:val="both"/>
      </w:pPr>
      <w:r>
        <w:rPr>
          <w:rFonts w:ascii="Times New Roman" w:hAnsi="Times New Roman"/>
          <w:sz w:val="24"/>
        </w:rPr>
        <w:t>- Assess StoreDot’s strategy to address charging infrastructure standardization and availability challenges that impact XFC adoption.</w:t>
      </w:r>
    </w:p>
    <w:p>
      <w:pPr>
        <w:spacing w:line="360" w:lineRule="auto"/>
        <w:jc w:val="both"/>
      </w:pPr>
      <w:r>
        <w:rPr>
          <w:rFonts w:ascii="Times New Roman" w:hAnsi="Times New Roman"/>
          <w:sz w:val="24"/>
        </w:rPr>
        <w:t>- Understand how StoreDot plans to collaborate with charging network operators or EV manufacturers to ensure ecosystem compatibility.</w:t>
      </w:r>
    </w:p>
    <w:p>
      <w:pPr>
        <w:spacing w:line="360" w:lineRule="auto"/>
        <w:jc w:val="both"/>
      </w:pPr>
      <w:r>
        <w:rPr>
          <w:rFonts w:ascii="Times New Roman" w:hAnsi="Times New Roman"/>
          <w:sz w:val="24"/>
        </w:rPr>
        <w:t>- **Financials &amp; Funding**</w:t>
      </w:r>
    </w:p>
    <w:p>
      <w:pPr>
        <w:spacing w:line="360" w:lineRule="auto"/>
        <w:jc w:val="both"/>
      </w:pPr>
      <w:r>
        <w:rPr>
          <w:rFonts w:ascii="Times New Roman" w:hAnsi="Times New Roman"/>
          <w:sz w:val="24"/>
        </w:rPr>
        <w:t>- Request current financials, burn rate, and funding runway.</w:t>
      </w:r>
    </w:p>
    <w:p>
      <w:pPr>
        <w:spacing w:line="360" w:lineRule="auto"/>
        <w:jc w:val="both"/>
      </w:pPr>
      <w:r>
        <w:rPr>
          <w:rFonts w:ascii="Times New Roman" w:hAnsi="Times New Roman"/>
          <w:sz w:val="24"/>
        </w:rPr>
        <w:t>- Clarify planned use of proceeds and milestones tied to the next funding round.</w:t>
      </w:r>
    </w:p>
    <w:p>
      <w:pPr>
        <w:spacing w:line="360" w:lineRule="auto"/>
        <w:jc w:val="both"/>
      </w:pPr>
      <w:r>
        <w:rPr>
          <w:rFonts w:ascii="Times New Roman" w:hAnsi="Times New Roman"/>
          <w:sz w:val="24"/>
        </w:rPr>
        <w:t>- **Regulatory &amp; Sustainability**</w:t>
      </w:r>
    </w:p>
    <w:p>
      <w:pPr>
        <w:spacing w:line="360" w:lineRule="auto"/>
        <w:jc w:val="both"/>
      </w:pPr>
      <w:r>
        <w:rPr>
          <w:rFonts w:ascii="Times New Roman" w:hAnsi="Times New Roman"/>
          <w:sz w:val="24"/>
        </w:rPr>
        <w:t>- Confirm compliance with relevant automotive and battery safety regulations globally.</w:t>
      </w:r>
    </w:p>
    <w:p>
      <w:pPr>
        <w:spacing w:line="360" w:lineRule="auto"/>
        <w:jc w:val="both"/>
      </w:pPr>
      <w:r>
        <w:rPr>
          <w:rFonts w:ascii="Times New Roman" w:hAnsi="Times New Roman"/>
          <w:sz w:val="24"/>
        </w:rPr>
        <w:t>- Obtain details on cobalt reduction and sustainability initiatives in production.</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Validate key team members’ track record in scaling battery technologies commercially.</w:t>
      </w:r>
    </w:p>
    <w:p>
      <w:pPr>
        <w:spacing w:line="360" w:lineRule="auto"/>
        <w:jc w:val="both"/>
      </w:pPr>
      <w:r>
        <w:rPr>
          <w:rFonts w:ascii="Times New Roman" w:hAnsi="Times New Roman"/>
          <w:sz w:val="24"/>
        </w:rPr>
        <w:t>- Understand hiring plans and potential gaps in manufacturing or commercialization expertise.</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with CTO and R&amp;D leads.</w:t>
      </w:r>
    </w:p>
    <w:p>
      <w:pPr>
        <w:spacing w:line="360" w:lineRule="auto"/>
        <w:jc w:val="both"/>
      </w:pPr>
      <w:r>
        <w:rPr>
          <w:rFonts w:ascii="Times New Roman" w:hAnsi="Times New Roman"/>
          <w:sz w:val="24"/>
        </w:rPr>
        <w:t>- Conduct reference calls with at least 2 OEM partners.</w:t>
      </w:r>
    </w:p>
    <w:p>
      <w:pPr>
        <w:spacing w:line="360" w:lineRule="auto"/>
        <w:jc w:val="both"/>
      </w:pPr>
      <w:r>
        <w:rPr>
          <w:rFonts w:ascii="Times New Roman" w:hAnsi="Times New Roman"/>
          <w:sz w:val="24"/>
        </w:rPr>
        <w:t>- Engage independent battery experts for technology and IP due diligence.</w:t>
      </w:r>
    </w:p>
    <w:p>
      <w:pPr>
        <w:spacing w:line="360" w:lineRule="auto"/>
        <w:jc w:val="both"/>
      </w:pPr>
      <w:r>
        <w:rPr>
          <w:rFonts w:ascii="Times New Roman" w:hAnsi="Times New Roman"/>
          <w:sz w:val="24"/>
        </w:rPr>
        <w:t>- Review detailed financial model and funding plan.</w:t>
      </w:r>
    </w:p>
    <w:p>
      <w:pPr>
        <w:spacing w:line="360" w:lineRule="auto"/>
        <w:jc w:val="both"/>
      </w:pPr>
      <w:r>
        <w:rPr>
          <w:rFonts w:ascii="Times New Roman" w:hAnsi="Times New Roman"/>
          <w:sz w:val="24"/>
        </w:rPr>
        <w:t>- Monitor competitive developments in XFC and solid-state batteries.</w:t>
      </w:r>
    </w:p>
    <w:p>
      <w:pPr>
        <w:spacing w:line="360" w:lineRule="auto"/>
        <w:jc w:val="both"/>
      </w:pPr>
      <w:r>
        <w:rPr>
          <w:rFonts w:ascii="Times New Roman" w:hAnsi="Times New Roman"/>
          <w:sz w:val="24"/>
        </w:rPr>
        <w:t>If these areas are addressed satisfactorily, proceed to term sheet discussion.</w:t>
      </w:r>
    </w:p>
    <w:p>
      <w:pPr>
        <w:spacing w:line="360" w:lineRule="auto"/>
        <w:jc w:val="both"/>
      </w:pPr>
      <w:r>
        <w:rPr>
          <w:rFonts w:ascii="Times New Roman" w:hAnsi="Times New Roman"/>
          <w:sz w:val="24"/>
        </w:rPr>
      </w:r>
    </w:p>
    <w:p>
      <w:pPr>
        <w:spacing w:line="360" w:lineRule="auto"/>
        <w:jc w:val="both"/>
      </w:pPr>
      <w:r>
        <w:rPr>
          <w:rFonts w:ascii="Times New Roman" w:hAnsi="Times New Roman"/>
          <w:b/>
          <w:sz w:val="24"/>
        </w:rPr>
        <w:t>16. FIGURES &amp; VISUALS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Section not available.</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APPENDIX: FINANCIALS</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Data not provided by company as of July 13, 2025</w:t>
      </w:r>
    </w:p>
    <w:p>
      <w:pPr>
        <w:spacing w:line="360" w:lineRule="auto"/>
        <w:jc w:val="both"/>
      </w:pPr>
      <w:r>
        <w:rPr>
          <w:rFonts w:ascii="Times New Roman" w:hAnsi="Times New Roman"/>
          <w:sz w:val="24"/>
        </w:rPr>
      </w:r>
    </w:p>
    <w:p>
      <w:pPr>
        <w:spacing w:line="360" w:lineRule="auto"/>
        <w:jc w:val="both"/>
      </w:pPr>
      <w:r>
        <w:rPr>
          <w:rFonts w:ascii="Times New Roman" w:hAnsi="Times New Roman"/>
          <w:sz w:val="24"/>
        </w:rPr>
        <w:t>[1] Source: StoreDot April 2023 Corporate Overview</w:t>
      </w:r>
    </w:p>
    <w:p>
      <w:pPr>
        <w:spacing w:line="360" w:lineRule="auto"/>
        <w:jc w:val="both"/>
      </w:pPr>
      <w:r>
        <w:rPr>
          <w:rFonts w:ascii="Times New Roman" w:hAnsi="Times New Roman"/>
          <w:sz w:val="24"/>
        </w:rPr>
      </w:r>
    </w:p>
    <w:p/>
    <w:p/>
    <w:p/>
    <w:p/>
    <w:p/>
    <w:p/>
    <w:p/>
    <w:p/>
    <w:p/>
    <w:p/>
    <w:p/>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EAFC" w14:textId="77777777" w:rsidR="00073E6B" w:rsidRDefault="00073E6B">
      <w:r>
        <w:separator/>
      </w:r>
    </w:p>
  </w:endnote>
  <w:endnote w:type="continuationSeparator" w:id="0">
    <w:p w14:paraId="0C6CDD8A" w14:textId="77777777" w:rsidR="00073E6B" w:rsidRDefault="0007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20EA9" w14:textId="77777777" w:rsidR="00073E6B" w:rsidRDefault="00073E6B">
      <w:r>
        <w:separator/>
      </w:r>
    </w:p>
  </w:footnote>
  <w:footnote w:type="continuationSeparator" w:id="0">
    <w:p w14:paraId="659CBCC4" w14:textId="77777777" w:rsidR="00073E6B" w:rsidRDefault="00073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3E6B"/>
    <w:rsid w:val="00076556"/>
    <w:rsid w:val="000D325D"/>
    <w:rsid w:val="000D4F36"/>
    <w:rsid w:val="000E2C8D"/>
    <w:rsid w:val="000F1795"/>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50652"/>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D6C76"/>
    <w:rsid w:val="005E4972"/>
    <w:rsid w:val="0060001D"/>
    <w:rsid w:val="006243AE"/>
    <w:rsid w:val="00632C10"/>
    <w:rsid w:val="00634BDE"/>
    <w:rsid w:val="00636596"/>
    <w:rsid w:val="0066245E"/>
    <w:rsid w:val="00674DE7"/>
    <w:rsid w:val="00686276"/>
    <w:rsid w:val="0069107B"/>
    <w:rsid w:val="00702FCC"/>
    <w:rsid w:val="00703322"/>
    <w:rsid w:val="0074038C"/>
    <w:rsid w:val="0074064F"/>
    <w:rsid w:val="0076074B"/>
    <w:rsid w:val="00774B00"/>
    <w:rsid w:val="0078102A"/>
    <w:rsid w:val="00783404"/>
    <w:rsid w:val="007F686E"/>
    <w:rsid w:val="008017F9"/>
    <w:rsid w:val="00801A6D"/>
    <w:rsid w:val="008155A3"/>
    <w:rsid w:val="00822182"/>
    <w:rsid w:val="0082219D"/>
    <w:rsid w:val="00830FE5"/>
    <w:rsid w:val="0085320E"/>
    <w:rsid w:val="00856191"/>
    <w:rsid w:val="00862895"/>
    <w:rsid w:val="00876060"/>
    <w:rsid w:val="008839E2"/>
    <w:rsid w:val="008A2E35"/>
    <w:rsid w:val="008A47F1"/>
    <w:rsid w:val="008D73E1"/>
    <w:rsid w:val="008F671B"/>
    <w:rsid w:val="00945232"/>
    <w:rsid w:val="009541BA"/>
    <w:rsid w:val="00982DE1"/>
    <w:rsid w:val="00990D45"/>
    <w:rsid w:val="0099453E"/>
    <w:rsid w:val="0099589D"/>
    <w:rsid w:val="009A3A09"/>
    <w:rsid w:val="009B2F00"/>
    <w:rsid w:val="009B574F"/>
    <w:rsid w:val="009D5183"/>
    <w:rsid w:val="009F3BE2"/>
    <w:rsid w:val="00A1155D"/>
    <w:rsid w:val="00A23FF9"/>
    <w:rsid w:val="00A338C6"/>
    <w:rsid w:val="00A40514"/>
    <w:rsid w:val="00A47E41"/>
    <w:rsid w:val="00A60FB3"/>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772E1"/>
    <w:rsid w:val="00B8450B"/>
    <w:rsid w:val="00C03617"/>
    <w:rsid w:val="00C12690"/>
    <w:rsid w:val="00C453AD"/>
    <w:rsid w:val="00C5032E"/>
    <w:rsid w:val="00C54893"/>
    <w:rsid w:val="00C802F8"/>
    <w:rsid w:val="00C86B66"/>
    <w:rsid w:val="00CB7D42"/>
    <w:rsid w:val="00CC3D37"/>
    <w:rsid w:val="00CC5672"/>
    <w:rsid w:val="00CD3684"/>
    <w:rsid w:val="00CE797F"/>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EB4BA7"/>
    <w:rsid w:val="00F15DA4"/>
    <w:rsid w:val="00F25176"/>
    <w:rsid w:val="00F5288C"/>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10</Words>
  <Characters>60</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69</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10</cp:revision>
  <cp:lastPrinted>2012-08-22T12:07:00Z</cp:lastPrinted>
  <dcterms:created xsi:type="dcterms:W3CDTF">2025-07-11T11:27:00Z</dcterms:created>
  <dcterms:modified xsi:type="dcterms:W3CDTF">2025-07-13T09:34:00Z</dcterms:modified>
</cp:coreProperties>
</file>