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28506C95" w14:textId="77777777" w:rsidR="00CE3799" w:rsidRDefault="00702FCC" w:rsidP="00CE3799">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04:46 PM</w:t>
      </w:r>
    </w:p>
    <w:p w14:paraId="0E6225F1" w14:textId="6108C3E7" w:rsidR="00702FCC" w:rsidRDefault="00702FCC" w:rsidP="00CE3799">
      <w:pPr>
        <w:spacing w:after="160" w:line="259" w:lineRule="auto"/>
        <w:rPr>
          <w:lang w:val="en-US"/>
        </w:rPr>
      </w:pP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I'm sorry, but I was unable to find the official website for the company StoreDot using the provided tool.</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$150 K, SAM $45 K, SOM $9 K; Market Penetration: 6.0 %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Focuses on solid-state lithium-metal batteries promising higher energy density and faster charging.</w:t>
      </w:r>
    </w:p>
    <w:p>
      <w:pPr>
        <w:spacing w:line="360" w:lineRule="auto"/>
        <w:jc w:val="both"/>
      </w:pPr>
      <w:r>
        <w:rPr>
          <w:rFonts w:ascii="Times New Roman" w:hAnsi="Times New Roman"/>
          <w:sz w:val="24"/>
        </w:rPr>
        <w:t>Strengths: [Not specified]</w:t>
      </w:r>
    </w:p>
    <w:p>
      <w:pPr>
        <w:spacing w:line="360" w:lineRule="auto"/>
        <w:jc w:val="both"/>
      </w:pPr>
      <w:r>
        <w:rPr>
          <w:rFonts w:ascii="Times New Roman" w:hAnsi="Times New Roman"/>
          <w:sz w:val="24"/>
        </w:rPr>
        <w:t>Weaknesses: [Not specified]</w:t>
      </w:r>
    </w:p>
    <w:p>
      <w:pPr>
        <w:spacing w:line="360" w:lineRule="auto"/>
        <w:jc w:val="both"/>
      </w:pPr>
      <w:r>
        <w:rPr>
          <w:rFonts w:ascii="Times New Roman" w:hAnsi="Times New Roman"/>
          <w:sz w:val="24"/>
        </w:rPr>
        <w:t>• Sila Nanotechnologies: Develops silicon-dominant anode materials to enhance lithium-ion battery performance and energy density.</w:t>
      </w:r>
    </w:p>
    <w:p>
      <w:pPr>
        <w:spacing w:line="360" w:lineRule="auto"/>
        <w:jc w:val="both"/>
      </w:pPr>
      <w:r>
        <w:rPr>
          <w:rFonts w:ascii="Times New Roman" w:hAnsi="Times New Roman"/>
          <w:sz w:val="24"/>
        </w:rPr>
        <w:t>• Solid Power: Specializes in all-solid-state batteries with scalable manufacturing processes targeting automotive applications.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minimize CAPEX and align costs with industry standards. Key customer segments include EV manufacturers and battery producers, with over 15 OEMs currently testing their technology, targeting commercial readiness by 2025. StoreDot’s go-to-market strategy emphasizes partnerships and licensing rather than direct manufacturing, enabling rapid scalability and adoption aligned with the EV market’s growth trajectory. Recent materials confirm no major pivots but highlight ongoing validation and scaling efforts, positioning StoreDot as a technology leader ahead of competing solid-state and semi-solid battery solutions. (Sources: StoreDot April 2023 Corporate Overview; UBS EV battery market data)</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Technology Maturity: production. Moat: StoreDot has a 3-5 years' lead on alternative solutions and a strong patent portfolio.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and a strong patent portfolio</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13,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in 10 minutes with no degradation over 1200 cycles, leveraging scalable, standard Li-ion manufacturing lines and a cobalt-reduction approach, which supports sustainability goals by potentially lowering reliance on conflict minerals. Socially, StoreDot’s innovation could reduce "charging anxiety," enhancing EV user experience and promoting broader clean transportation adoption. Governance appears strong with experienced leadership and a global advisory board of industry experts, though detailed ESG policies or disclosures are not provided in the materials. No recent ESG controversies or regulatory issues were identified in available information; however, further data on supply chain ethics, labor practices, and environmental impact assessments would be needed for a comprehensive ESG evaluation.</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N/A</w:t>
      </w:r>
    </w:p>
    <w:p>
      <w:pPr>
        <w:spacing w:after="0"/>
      </w:pPr>
    </w:p>
    <w:p>
      <w:pPr>
        <w:spacing w:line="360" w:lineRule="auto" w:after="120"/>
        <w:jc w:val="both"/>
      </w:pPr>
      <w:r>
        <w:rPr>
          <w:rFonts w:ascii="Times New Roman" w:hAnsi="Times New Roman"/>
          <w:b/>
          <w:sz w:val="24"/>
        </w:rPr>
        <w:t>IDENTIFIED RISKS:</w:t>
      </w:r>
    </w:p>
    <w:p>
      <w:pPr>
        <w:spacing w:line="360" w:lineRule="auto"/>
        <w:jc w:val="both"/>
      </w:pPr>
      <w:r>
        <w:rPr>
          <w:rFonts w:ascii="Times New Roman" w:hAnsi="Times New Roman"/>
          <w:sz w:val="24"/>
        </w:rPr>
        <w:t>1. Limited financial data available</w:t>
      </w:r>
    </w:p>
    <w:p>
      <w:pPr>
        <w:spacing w:line="360" w:lineRule="auto"/>
        <w:jc w:val="both"/>
      </w:pPr>
      <w:r>
        <w:rPr>
          <w:rFonts w:ascii="Times New Roman" w:hAnsi="Times New Roman"/>
          <w:sz w:val="24"/>
        </w:rPr>
        <w:t>2. Unknown funding stage</w:t>
      </w:r>
    </w:p>
    <w:p>
      <w:pPr>
        <w:spacing w:line="360" w:lineRule="auto"/>
        <w:jc w:val="both"/>
      </w:pPr>
      <w:r>
        <w:rPr>
          <w:rFonts w:ascii="Times New Roman" w:hAnsi="Times New Roman"/>
          <w:sz w:val="24"/>
        </w:rPr>
        <w:t>3. Limited runway information</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automotive company looking to enhance their EV offerings, or an IPO if StoreDot continues to lead in the market. Recommended exit strategies could involve strategic partnerships with key players in the EV industry to accelerate growth and increase valuation. However, more data on financials, market traction, and competition would be needed to provide a more detailed analysis.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Obtain data on battery performance degradation under real-world driving and charging scenarios.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Identify the &gt;15 OEMs and manufacturing partners currently testing the 100in5 cells; request letters of intent or pilot agreements.</w:t>
      </w:r>
    </w:p>
    <w:p>
      <w:pPr>
        <w:spacing w:line="360" w:lineRule="auto"/>
        <w:jc w:val="both"/>
      </w:pPr>
      <w:r>
        <w:rPr>
          <w:rFonts w:ascii="Times New Roman" w:hAnsi="Times New Roman"/>
          <w:sz w:val="24"/>
        </w:rPr>
        <w:t>- Understand the timeline and scale-up plans for commercial production readiness in 2025; confirm manufacturing capacity and bottlenecks.</w:t>
      </w:r>
    </w:p>
    <w:p>
      <w:pPr>
        <w:spacing w:line="360" w:lineRule="auto"/>
        <w:jc w:val="both"/>
      </w:pPr>
      <w:r>
        <w:rPr>
          <w:rFonts w:ascii="Times New Roman" w:hAnsi="Times New Roman"/>
          <w:sz w:val="24"/>
        </w:rPr>
        <w:t>- Assess dependency on specific manufacturing lines or suppliers and risks related to supply chain or CAPEX.</w:t>
      </w:r>
    </w:p>
    <w:p>
      <w:pPr>
        <w:spacing w:line="360" w:lineRule="auto"/>
        <w:jc w:val="both"/>
      </w:pPr>
      <w:r>
        <w:rPr>
          <w:rFonts w:ascii="Times New Roman" w:hAnsi="Times New Roman"/>
          <w:sz w:val="24"/>
        </w:rPr>
        <w:t>- **Technology Differentiation &amp; Competitive Landscape**</w:t>
      </w:r>
    </w:p>
    <w:p>
      <w:pPr>
        <w:spacing w:line="360" w:lineRule="auto"/>
        <w:jc w:val="both"/>
      </w:pPr>
      <w:r>
        <w:rPr>
          <w:rFonts w:ascii="Times New Roman" w:hAnsi="Times New Roman"/>
          <w:sz w:val="24"/>
        </w:rPr>
        <w:t>- Request a detailed competitive analysis comparing StoreDot’s chemistry and cost structure versus other emerging battery technologies (solid-state, semi-solid).</w:t>
      </w:r>
    </w:p>
    <w:p>
      <w:pPr>
        <w:spacing w:line="360" w:lineRule="auto"/>
        <w:jc w:val="both"/>
      </w:pPr>
      <w:r>
        <w:rPr>
          <w:rFonts w:ascii="Times New Roman" w:hAnsi="Times New Roman"/>
          <w:sz w:val="24"/>
        </w:rPr>
        <w:t>- Clarify how StoreDot’s technology integrates with existing EV platforms and charging standards globally, addressing connector and infrastructure compatibility.</w:t>
      </w:r>
    </w:p>
    <w:p>
      <w:pPr>
        <w:spacing w:line="360" w:lineRule="auto"/>
        <w:jc w:val="both"/>
      </w:pPr>
      <w:r>
        <w:rPr>
          <w:rFonts w:ascii="Times New Roman" w:hAnsi="Times New Roman"/>
          <w:sz w:val="24"/>
        </w:rPr>
        <w:t>- **Commercial &amp; Go-to-Market Strategy**</w:t>
      </w:r>
    </w:p>
    <w:p>
      <w:pPr>
        <w:spacing w:line="360" w:lineRule="auto"/>
        <w:jc w:val="both"/>
      </w:pPr>
      <w:r>
        <w:rPr>
          <w:rFonts w:ascii="Times New Roman" w:hAnsi="Times New Roman"/>
          <w:sz w:val="24"/>
        </w:rPr>
        <w:t>- Understand StoreDot’s licensing model specifics: pricing, exclusivity, and revenue projections.</w:t>
      </w:r>
    </w:p>
    <w:p>
      <w:pPr>
        <w:spacing w:line="360" w:lineRule="auto"/>
        <w:jc w:val="both"/>
      </w:pPr>
      <w:r>
        <w:rPr>
          <w:rFonts w:ascii="Times New Roman" w:hAnsi="Times New Roman"/>
          <w:sz w:val="24"/>
        </w:rPr>
        <w:t>- Clarify target markets and regions for initial commercialization and planned customer segments.</w:t>
      </w:r>
    </w:p>
    <w:p>
      <w:pPr>
        <w:spacing w:line="360" w:lineRule="auto"/>
        <w:jc w:val="both"/>
      </w:pPr>
      <w:r>
        <w:rPr>
          <w:rFonts w:ascii="Times New Roman" w:hAnsi="Times New Roman"/>
          <w:sz w:val="24"/>
        </w:rPr>
        <w:t>- Assess go-to-market risks related to charging infrastructure adoption and regulatory environment.</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 statements, burn rate, and funding runway.</w:t>
      </w:r>
    </w:p>
    <w:p>
      <w:pPr>
        <w:spacing w:line="360" w:lineRule="auto"/>
        <w:jc w:val="both"/>
      </w:pPr>
      <w:r>
        <w:rPr>
          <w:rFonts w:ascii="Times New Roman" w:hAnsi="Times New Roman"/>
          <w:sz w:val="24"/>
        </w:rPr>
        <w:t>- Understand capital requirements for scaling production and R&amp;D roadmap through 2032.</w:t>
      </w:r>
    </w:p>
    <w:p>
      <w:pPr>
        <w:spacing w:line="360" w:lineRule="auto"/>
        <w:jc w:val="both"/>
      </w:pPr>
      <w:r>
        <w:rPr>
          <w:rFonts w:ascii="Times New Roman" w:hAnsi="Times New Roman"/>
          <w:sz w:val="24"/>
        </w:rPr>
        <w:t>- Clarify valuation expectations and planned use of proceeds from this funding round.</w:t>
      </w:r>
    </w:p>
    <w:p>
      <w:pPr>
        <w:spacing w:line="360" w:lineRule="auto"/>
        <w:jc w:val="both"/>
      </w:pPr>
      <w:r>
        <w:rPr>
          <w:rFonts w:ascii="Times New Roman" w:hAnsi="Times New Roman"/>
          <w:sz w:val="24"/>
        </w:rPr>
        <w:t>- **Team &amp; Execution Risks**</w:t>
      </w:r>
    </w:p>
    <w:p>
      <w:pPr>
        <w:spacing w:line="360" w:lineRule="auto"/>
        <w:jc w:val="both"/>
      </w:pPr>
      <w:r>
        <w:rPr>
          <w:rFonts w:ascii="Times New Roman" w:hAnsi="Times New Roman"/>
          <w:sz w:val="24"/>
        </w:rPr>
        <w:t>- Deep dive into the leadership team’s track record in scaling battery technologies and commercializing in automotive sectors.</w:t>
      </w:r>
    </w:p>
    <w:p>
      <w:pPr>
        <w:spacing w:line="360" w:lineRule="auto"/>
        <w:jc w:val="both"/>
      </w:pPr>
      <w:r>
        <w:rPr>
          <w:rFonts w:ascii="Times New Roman" w:hAnsi="Times New Roman"/>
          <w:sz w:val="24"/>
        </w:rPr>
        <w:t>- Assess organizational readiness and hiring plans to support rapid scale-up.</w:t>
      </w:r>
    </w:p>
    <w:p>
      <w:pPr>
        <w:spacing w:line="360" w:lineRule="auto"/>
        <w:jc w:val="both"/>
      </w:pPr>
      <w:r>
        <w:rPr>
          <w:rFonts w:ascii="Times New Roman" w:hAnsi="Times New Roman"/>
          <w:sz w:val="24"/>
        </w:rPr>
        <w:t>- **Sustainability &amp; Regulatory Compliance**</w:t>
      </w:r>
    </w:p>
    <w:p>
      <w:pPr>
        <w:spacing w:line="360" w:lineRule="auto"/>
        <w:jc w:val="both"/>
      </w:pPr>
      <w:r>
        <w:rPr>
          <w:rFonts w:ascii="Times New Roman" w:hAnsi="Times New Roman"/>
          <w:sz w:val="24"/>
        </w:rPr>
        <w:t>- Request details on cobalt reduction and other sustainability initiatives.</w:t>
      </w:r>
    </w:p>
    <w:p>
      <w:pPr>
        <w:spacing w:line="360" w:lineRule="auto"/>
        <w:jc w:val="both"/>
      </w:pPr>
      <w:r>
        <w:rPr>
          <w:rFonts w:ascii="Times New Roman" w:hAnsi="Times New Roman"/>
          <w:sz w:val="24"/>
        </w:rPr>
        <w:t>- Confirm compliance with evolving battery and EV regulations in key markets (US, EU, China).</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session with CTO and R&amp;D leads.</w:t>
      </w:r>
    </w:p>
    <w:p>
      <w:pPr>
        <w:spacing w:line="360" w:lineRule="auto"/>
        <w:jc w:val="both"/>
      </w:pPr>
      <w:r>
        <w:rPr>
          <w:rFonts w:ascii="Times New Roman" w:hAnsi="Times New Roman"/>
          <w:sz w:val="24"/>
        </w:rPr>
        <w:t>- Conduct reference checks with OEM partners and industry experts.</w:t>
      </w:r>
    </w:p>
    <w:p>
      <w:pPr>
        <w:spacing w:line="360" w:lineRule="auto"/>
        <w:jc w:val="both"/>
      </w:pPr>
      <w:r>
        <w:rPr>
          <w:rFonts w:ascii="Times New Roman" w:hAnsi="Times New Roman"/>
          <w:sz w:val="24"/>
        </w:rPr>
        <w:t>- Engage external battery technology consultants for independent validation.</w:t>
      </w:r>
    </w:p>
    <w:p>
      <w:pPr>
        <w:spacing w:line="360" w:lineRule="auto"/>
        <w:jc w:val="both"/>
      </w:pPr>
      <w:r>
        <w:rPr>
          <w:rFonts w:ascii="Times New Roman" w:hAnsi="Times New Roman"/>
          <w:sz w:val="24"/>
        </w:rPr>
        <w:t>- Review detailed financial model and funding plan.</w:t>
      </w:r>
    </w:p>
    <w:p>
      <w:pPr>
        <w:spacing w:line="360" w:lineRule="auto"/>
        <w:jc w:val="both"/>
      </w:pPr>
      <w:r>
        <w:rPr>
          <w:rFonts w:ascii="Times New Roman" w:hAnsi="Times New Roman"/>
          <w:sz w:val="24"/>
        </w:rPr>
        <w:t>- Monitor regulatory developments impacting battery chemistries and fast charging standards.</w:t>
      </w:r>
    </w:p>
    <w:p>
      <w:pPr>
        <w:spacing w:line="360" w:lineRule="auto"/>
        <w:jc w:val="both"/>
      </w:pPr>
      <w:r>
        <w:rPr>
          <w:rFonts w:ascii="Times New Roman" w:hAnsi="Times New Roman"/>
          <w:sz w:val="24"/>
        </w:rPr>
        <w:t>If these areas are addressed satisfactorily, proceed to term sheet discussion.</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**Technology Leadership &amp; IP Moat:** StoreDot claims a 3-5 year lead over competitors with a proprietary silicon-dominant anode lithium-ion technology enabling extreme fast charging (XFC). The 78 granted US patents and 22 pending patents provide a strong intellectual property moat, critical in the highly competitive battery tech space.</w:t>
      </w:r>
    </w:p>
    <w:p>
      <w:pPr>
        <w:spacing w:line="360" w:lineRule="auto"/>
        <w:jc w:val="both"/>
      </w:pPr>
      <w:r>
        <w:rPr>
          <w:rFonts w:ascii="Times New Roman" w:hAnsi="Times New Roman"/>
          <w:sz w:val="24"/>
        </w:rPr>
        <w:t>- **Addressing a Critical Market Pain Point:** Charging time and range anxiety remain major barriers to EV adoption. StoreDot’s promise of 100 miles in 5-10 minutes charging directly tackles this, potentially accelerating EV market penetration.</w:t>
      </w:r>
    </w:p>
    <w:p>
      <w:pPr>
        <w:spacing w:line="360" w:lineRule="auto"/>
        <w:jc w:val="both"/>
      </w:pPr>
      <w:r>
        <w:rPr>
          <w:rFonts w:ascii="Times New Roman" w:hAnsi="Times New Roman"/>
          <w:sz w:val="24"/>
        </w:rPr>
        <w:t>- **Scalable &amp; Compatible Technology:** The drop-in compatibility with existing lithium-ion manufacturing lines reduces CAPEX and adoption friction, enabling faster scale-up and integration with OEMs.</w:t>
      </w:r>
    </w:p>
    <w:p>
      <w:pPr>
        <w:spacing w:line="360" w:lineRule="auto"/>
        <w:jc w:val="both"/>
      </w:pPr>
      <w:r>
        <w:rPr>
          <w:rFonts w:ascii="Times New Roman" w:hAnsi="Times New Roman"/>
          <w:sz w:val="24"/>
        </w:rPr>
        <w:t>- **Strong Industry Validation:** Over 15 OEMs are reportedly testing the technology, indicating early market interest and potential for strategic partnerships.</w:t>
      </w:r>
    </w:p>
    <w:p>
      <w:pPr>
        <w:spacing w:line="360" w:lineRule="auto"/>
        <w:jc w:val="both"/>
      </w:pPr>
      <w:r>
        <w:rPr>
          <w:rFonts w:ascii="Times New Roman" w:hAnsi="Times New Roman"/>
          <w:sz w:val="24"/>
        </w:rPr>
        <w:t>- **Experienced Founder:** Doron Myersdorf’s prior exits and sector experience add credibility to execution capability.</w:t>
      </w:r>
    </w:p>
    <w:p>
      <w:pPr>
        <w:spacing w:line="360" w:lineRule="auto"/>
        <w:jc w:val="both"/>
      </w:pPr>
      <w:r>
        <w:rPr>
          <w:rFonts w:ascii="Times New Roman" w:hAnsi="Times New Roman"/>
          <w:sz w:val="24"/>
        </w:rPr>
        <w:t>- **ESG Alignment:** Cobalt reduction and sustainability focus align with broader industry and regulatory trends, enhancing appeal to ESG-conscious investors.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or runway details severely limit assessment of financial health and capital adequacy.</w:t>
      </w:r>
    </w:p>
    <w:p>
      <w:pPr>
        <w:spacing w:line="360" w:lineRule="auto"/>
        <w:jc w:val="both"/>
      </w:pPr>
      <w:r>
        <w:rPr>
          <w:rFonts w:ascii="Times New Roman" w:hAnsi="Times New Roman"/>
          <w:sz w:val="24"/>
        </w:rPr>
        <w:t>- **Unclear Market Sizing Data:** The TAM/SAM/SOM figures ($150K/$45K/$9K) appear inconsistent or possibly misreported (likely missing units such as millions or billions), undermining confidence in market opportunity analysis.</w:t>
      </w:r>
    </w:p>
    <w:p>
      <w:pPr>
        <w:spacing w:line="360" w:lineRule="auto"/>
        <w:jc w:val="both"/>
      </w:pPr>
      <w:r>
        <w:rPr>
          <w:rFonts w:ascii="Times New Roman" w:hAnsi="Times New Roman"/>
          <w:sz w:val="24"/>
        </w:rPr>
        <w:t>- **Limited Competitive Analysis:** The memo provides minimal comparative insights on competitors’ strengths/weaknesses, cost structures, or technology readiness, making it difficult to benchmark StoreDot’s true differentiation.</w:t>
      </w:r>
    </w:p>
    <w:p>
      <w:pPr>
        <w:spacing w:line="360" w:lineRule="auto"/>
        <w:jc w:val="both"/>
      </w:pPr>
      <w:r>
        <w:rPr>
          <w:rFonts w:ascii="Times New Roman" w:hAnsi="Times New Roman"/>
          <w:sz w:val="24"/>
        </w:rPr>
        <w:t>- **Unverified Technical Claims:** Critical performance metrics (charging speed, cycle life, safety) lack independent third-party validation, raising execution and credibility risks.</w:t>
      </w:r>
    </w:p>
    <w:p>
      <w:pPr>
        <w:spacing w:line="360" w:lineRule="auto"/>
        <w:jc w:val="both"/>
      </w:pPr>
      <w:r>
        <w:rPr>
          <w:rFonts w:ascii="Times New Roman" w:hAnsi="Times New Roman"/>
          <w:sz w:val="24"/>
        </w:rPr>
        <w:t>- **Unspecified OEM Partnerships:** The &gt;15 OEMs testing the tech are unnamed, and no letters of intent or binding agreements are disclosed, leaving commercial traction uncertain.</w:t>
      </w:r>
    </w:p>
    <w:p>
      <w:pPr>
        <w:spacing w:line="360" w:lineRule="auto"/>
        <w:jc w:val="both"/>
      </w:pPr>
      <w:r>
        <w:rPr>
          <w:rFonts w:ascii="Times New Roman" w:hAnsi="Times New Roman"/>
          <w:sz w:val="24"/>
        </w:rPr>
        <w:t>- **Potential Manufacturing &amp; Supply Chain Risks:** While leveraging existing lines is a strength, dependency on specific suppliers or capacity constraints is not addressed.</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Tailwinds:** Global EV penetration is accelerating, driven by regulatory mandates and consumer demand. A breakthrough in charging speed could unlock latent demand and expand addressable markets.</w:t>
      </w:r>
    </w:p>
    <w:p>
      <w:pPr>
        <w:spacing w:line="360" w:lineRule="auto"/>
        <w:jc w:val="both"/>
      </w:pPr>
      <w:r>
        <w:rPr>
          <w:rFonts w:ascii="Times New Roman" w:hAnsi="Times New Roman"/>
          <w:sz w:val="24"/>
        </w:rPr>
        <w:t>- **Licensing Model Scalability:** By focusing on licensing rather than capital-intensive manufacturing, StoreDot can scale rapidly and generate recurring revenue streams with limited CAPEX.</w:t>
      </w:r>
    </w:p>
    <w:p>
      <w:pPr>
        <w:spacing w:line="360" w:lineRule="auto"/>
        <w:jc w:val="both"/>
      </w:pPr>
      <w:r>
        <w:rPr>
          <w:rFonts w:ascii="Times New Roman" w:hAnsi="Times New Roman"/>
          <w:sz w:val="24"/>
        </w:rPr>
        <w:t>- **Strategic Partnerships &amp; M&amp;A Potential:** Given the strategic importance of battery tech, StoreDot could attract acquisition interest from OEMs, battery manufacturers, or tech conglomerates seeking to leapfrog competitors.</w:t>
      </w:r>
    </w:p>
    <w:p>
      <w:pPr>
        <w:spacing w:line="360" w:lineRule="auto"/>
        <w:jc w:val="both"/>
      </w:pPr>
      <w:r>
        <w:rPr>
          <w:rFonts w:ascii="Times New Roman" w:hAnsi="Times New Roman"/>
          <w:sz w:val="24"/>
        </w:rPr>
        <w:t>- **Expansion into Adjacent Markets:** Fast-charging batteries could find applications in e-mobility segments beyond passenger EVs, such as commercial vehicles, drones, or grid storage.</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**Technical &amp; Validation Risk:** Without independent validation, the risk of underperformance or safety issues under real-world conditions remains high.</w:t>
      </w:r>
    </w:p>
    <w:p>
      <w:pPr>
        <w:spacing w:line="360" w:lineRule="auto"/>
        <w:jc w:val="both"/>
      </w:pPr>
      <w:r>
        <w:rPr>
          <w:rFonts w:ascii="Times New Roman" w:hAnsi="Times New Roman"/>
          <w:sz w:val="24"/>
        </w:rPr>
        <w:t>- **Execution &amp; Scale-up Risk:** Commercial readiness by 2025 is ambitious; manufacturing scale-up, quality control, and supply chain logistics could delay time-to-market.</w:t>
      </w:r>
    </w:p>
    <w:p>
      <w:pPr>
        <w:spacing w:line="360" w:lineRule="auto"/>
        <w:jc w:val="both"/>
      </w:pPr>
      <w:r>
        <w:rPr>
          <w:rFonts w:ascii="Times New Roman" w:hAnsi="Times New Roman"/>
          <w:sz w:val="24"/>
        </w:rPr>
        <w:t>- **Competitive Risk:** Solid-state and other next-gen battery technologies are rapidly evolving; StoreDot’s silicon-dominant approach may face obsolescence or cost disadvantages.</w:t>
      </w:r>
    </w:p>
    <w:p>
      <w:pPr>
        <w:spacing w:line="360" w:lineRule="auto"/>
        <w:jc w:val="both"/>
      </w:pPr>
      <w:r>
        <w:rPr>
          <w:rFonts w:ascii="Times New Roman" w:hAnsi="Times New Roman"/>
          <w:sz w:val="24"/>
        </w:rPr>
        <w:t>- **Financial &amp; Funding Risk:** Unknown funding stage and lack of financial transparency raise concerns about runway and ability to sustain R&amp;D and commercialization efforts.</w:t>
      </w:r>
    </w:p>
    <w:p>
      <w:pPr>
        <w:spacing w:line="360" w:lineRule="auto"/>
        <w:jc w:val="both"/>
      </w:pPr>
      <w:r>
        <w:rPr>
          <w:rFonts w:ascii="Times New Roman" w:hAnsi="Times New Roman"/>
          <w:sz w:val="24"/>
        </w:rPr>
        <w:t>- **Regulatory &amp; Standards Risk:** Fast charging at extreme rates may face regulatory scrutiny or require infrastructure upgrades, potentially slowing adoption.</w:t>
      </w:r>
    </w:p>
    <w:p>
      <w:pPr>
        <w:spacing w:line="360" w:lineRule="auto"/>
        <w:jc w:val="both"/>
      </w:pPr>
      <w:r>
        <w:rPr>
          <w:rFonts w:ascii="Times New Roman" w:hAnsi="Times New Roman"/>
          <w:sz w:val="24"/>
        </w:rPr>
        <w:t>- **Market Adoption Risk:** OEMs may be hesitant to adopt unproven tech at scale without extensive testing and warranties, delaying licensing revenue.</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Rigorous Technical Validation:** Prioritize obtaining independent test data confirming charging speed, cycle life, safety, and degradation under real-world conditions before committing capital.</w:t>
      </w:r>
    </w:p>
    <w:p>
      <w:pPr>
        <w:spacing w:line="360" w:lineRule="auto"/>
        <w:jc w:val="both"/>
      </w:pPr>
      <w:r>
        <w:rPr>
          <w:rFonts w:ascii="Times New Roman" w:hAnsi="Times New Roman"/>
          <w:sz w:val="24"/>
        </w:rPr>
        <w:t>2. **Clarify Financials &amp; Funding Needs:** Insist on disclosure of current financial statements, burn rate, funding runway, and detailed use of proceeds to assess capital adequacy and dilution risk.</w:t>
      </w:r>
    </w:p>
    <w:p>
      <w:pPr>
        <w:spacing w:line="360" w:lineRule="auto"/>
        <w:jc w:val="both"/>
      </w:pPr>
      <w:r>
        <w:rPr>
          <w:rFonts w:ascii="Times New Roman" w:hAnsi="Times New Roman"/>
          <w:sz w:val="24"/>
        </w:rPr>
        <w:t>3. **Validate OEM Partnerships:** Secure letters of intent or pilot agreements from OEMs to confirm genuine commercial interest and reduce go-to-market risk.</w:t>
      </w:r>
    </w:p>
    <w:p>
      <w:pPr>
        <w:spacing w:line="360" w:lineRule="auto"/>
        <w:jc w:val="both"/>
      </w:pPr>
      <w:r>
        <w:rPr>
          <w:rFonts w:ascii="Times New Roman" w:hAnsi="Times New Roman"/>
          <w:sz w:val="24"/>
        </w:rPr>
        <w:t>4. **Conduct Competitive Benchmarking:** Commission a detailed comparative analysis of StoreDot’s technology versus solid-state and other silicon-anode competitors, focusing on cost, scalability, and integration.</w:t>
      </w:r>
    </w:p>
    <w:p>
      <w:pPr>
        <w:spacing w:line="360" w:lineRule="auto"/>
        <w:jc w:val="both"/>
      </w:pPr>
      <w:r>
        <w:rPr>
          <w:rFonts w:ascii="Times New Roman" w:hAnsi="Times New Roman"/>
          <w:sz w:val="24"/>
        </w:rPr>
        <w:t>5. **Assess Manufacturing &amp; Supply Chain Risks:** Understand dependencies, capacity constraints, and contingency plans for scale-up to mitigate operational risks.</w:t>
      </w:r>
    </w:p>
    <w:p>
      <w:pPr>
        <w:spacing w:line="360" w:lineRule="auto"/>
        <w:jc w:val="both"/>
      </w:pPr>
      <w:r>
        <w:rPr>
          <w:rFonts w:ascii="Times New Roman" w:hAnsi="Times New Roman"/>
          <w:sz w:val="24"/>
        </w:rPr>
        <w:t>6. **Monitor Regulatory Landscape:** Stay abreast of evolving battery and EV charging regulations in key markets to anticipate compliance challenges or incentives.</w:t>
      </w:r>
    </w:p>
    <w:p>
      <w:pPr>
        <w:spacing w:line="360" w:lineRule="auto"/>
        <w:jc w:val="both"/>
      </w:pPr>
      <w:r>
        <w:rPr>
          <w:rFonts w:ascii="Times New Roman" w:hAnsi="Times New Roman"/>
          <w:sz w:val="24"/>
        </w:rPr>
        <w:t>7. **Consider Staged Investment:** Structure investment in tranches tied to technical milestones, OEM commitments, and financial transparency to mitigate risk.</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proposition addressing a critical bottleneck in EV adoption with a strong IP position and promising OEM interest. However, significant gaps in financial transparency, independent technology validation, and competitive benchmarking introduce material risks. Investors should adopt a cautious, data-driven approach, demanding rigorous due diligence and milestone-based funding to capitalize on the opportunity while managing downside exposure. If StoreDot can validate its claims and secure firm commercial partnerships, it has the potential to be a transformative player in the EV battery ecosystem.</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30A9" w14:textId="77777777" w:rsidR="007166FB" w:rsidRDefault="007166FB">
      <w:r>
        <w:separator/>
      </w:r>
    </w:p>
  </w:endnote>
  <w:endnote w:type="continuationSeparator" w:id="0">
    <w:p w14:paraId="2C438CD5" w14:textId="77777777" w:rsidR="007166FB" w:rsidRDefault="00716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7E104" w14:textId="77777777" w:rsidR="007166FB" w:rsidRDefault="007166FB">
      <w:r>
        <w:separator/>
      </w:r>
    </w:p>
  </w:footnote>
  <w:footnote w:type="continuationSeparator" w:id="0">
    <w:p w14:paraId="02A4735F" w14:textId="77777777" w:rsidR="007166FB" w:rsidRDefault="00716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6074B"/>
    <w:rsid w:val="00774B00"/>
    <w:rsid w:val="0078102A"/>
    <w:rsid w:val="00783404"/>
    <w:rsid w:val="007F686E"/>
    <w:rsid w:val="008017F9"/>
    <w:rsid w:val="00801A6D"/>
    <w:rsid w:val="008155A3"/>
    <w:rsid w:val="00822182"/>
    <w:rsid w:val="0082219D"/>
    <w:rsid w:val="00830FE5"/>
    <w:rsid w:val="00845957"/>
    <w:rsid w:val="0085320E"/>
    <w:rsid w:val="00856191"/>
    <w:rsid w:val="00862895"/>
    <w:rsid w:val="00876060"/>
    <w:rsid w:val="008839E2"/>
    <w:rsid w:val="008A2E35"/>
    <w:rsid w:val="008A47F1"/>
    <w:rsid w:val="008D5E24"/>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26"/>
    <w:rsid w:val="00F5288C"/>
    <w:rsid w:val="00F71F85"/>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Words>
  <Characters>49</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56</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12</cp:revision>
  <cp:lastPrinted>2012-08-22T12:07:00Z</cp:lastPrinted>
  <dcterms:created xsi:type="dcterms:W3CDTF">2025-07-11T11:27:00Z</dcterms:created>
  <dcterms:modified xsi:type="dcterms:W3CDTF">2025-07-13T11:35:00Z</dcterms:modified>
</cp:coreProperties>
</file>