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995B27C" w14:textId="77777777" w:rsidR="00703322" w:rsidRDefault="001A3A2E" w:rsidP="00703322">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1DF7B2BD" w14:textId="77777777" w:rsidR="00703322" w:rsidRDefault="00703322" w:rsidP="00703322">
      <w:pPr>
        <w:spacing w:after="160" w:line="259" w:lineRule="auto"/>
        <w:rPr>
          <w:rFonts w:ascii="Menlo" w:hAnsi="Menlo" w:cs="Menlo"/>
          <w:color w:val="D8DEE9"/>
          <w:sz w:val="18"/>
          <w:szCs w:val="18"/>
        </w:rPr>
      </w:pPr>
    </w:p>
    <w:p w14:paraId="24F1EBB9" w14:textId="77777777" w:rsidR="00703322" w:rsidRDefault="00703322" w:rsidP="00703322">
      <w:pPr>
        <w:spacing w:after="160" w:line="259" w:lineRule="auto"/>
        <w:rPr>
          <w:rFonts w:ascii="Menlo" w:hAnsi="Menlo" w:cs="Menlo"/>
          <w:color w:val="D8DEE9"/>
          <w:sz w:val="18"/>
          <w:szCs w:val="18"/>
        </w:rPr>
      </w:pPr>
    </w:p>
    <w:p w14:paraId="28506C95" w14:textId="77777777" w:rsidR="00CE3799" w:rsidRDefault="00702FCC" w:rsidP="00CE3799">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13, 2025 at 04:53 PM</w:t>
      </w:r>
    </w:p>
    <w:p w14:paraId="634B72D4" w14:textId="77777777" w:rsidR="00D271A0" w:rsidRDefault="00D271A0" w:rsidP="00CE3799">
      <w:pPr>
        <w:spacing w:after="160" w:line="259" w:lineRule="auto"/>
        <w:rPr>
          <w:rFonts w:ascii="Menlo" w:hAnsi="Menlo" w:cs="Menlo"/>
          <w:color w:val="D8DEE9"/>
          <w:sz w:val="18"/>
          <w:szCs w:val="18"/>
        </w:rPr>
      </w:pPr>
    </w:p>
    <w:p w14:paraId="560EB3C0" w14:textId="77777777" w:rsidR="00D271A0" w:rsidRDefault="00D271A0" w:rsidP="00CE3799">
      <w:pPr>
        <w:spacing w:after="160" w:line="259" w:lineRule="auto"/>
        <w:rPr>
          <w:rFonts w:ascii="Menlo" w:hAnsi="Menlo" w:cs="Menlo"/>
          <w:color w:val="D8DEE9"/>
          <w:sz w:val="18"/>
          <w:szCs w:val="18"/>
        </w:rPr>
      </w:pPr>
    </w:p>
    <w:p w14:paraId="1F00E6DE" w14:textId="77777777" w:rsidR="00D271A0" w:rsidRDefault="00D271A0" w:rsidP="00CE3799">
      <w:pPr>
        <w:spacing w:after="160" w:line="259" w:lineRule="auto"/>
        <w:rPr>
          <w:rFonts w:ascii="Menlo" w:hAnsi="Menlo" w:cs="Menlo"/>
          <w:color w:val="D8DEE9"/>
          <w:sz w:val="18"/>
          <w:szCs w:val="18"/>
        </w:rPr>
      </w:pPr>
    </w:p>
    <w:p w14:paraId="6A8A1A9D" w14:textId="77777777" w:rsidR="00D271A0" w:rsidRDefault="00D271A0" w:rsidP="00CE3799">
      <w:pPr>
        <w:spacing w:after="160" w:line="259" w:lineRule="auto"/>
        <w:rPr>
          <w:rFonts w:ascii="Menlo" w:hAnsi="Menlo" w:cs="Menlo"/>
          <w:color w:val="D8DEE9"/>
          <w:sz w:val="18"/>
          <w:szCs w:val="18"/>
        </w:rPr>
      </w:pPr>
    </w:p>
    <w:p w14:paraId="60064FD8" w14:textId="77777777" w:rsidR="00D271A0" w:rsidRDefault="00D271A0" w:rsidP="00CE3799">
      <w:pPr>
        <w:spacing w:after="160" w:line="259" w:lineRule="auto"/>
        <w:rPr>
          <w:rFonts w:ascii="Menlo" w:hAnsi="Menlo" w:cs="Menlo"/>
          <w:color w:val="D8DEE9"/>
          <w:sz w:val="18"/>
          <w:szCs w:val="18"/>
        </w:rPr>
      </w:pPr>
    </w:p>
    <w:p w14:paraId="3275A0D5" w14:textId="77777777" w:rsidR="00D271A0" w:rsidRDefault="00D271A0" w:rsidP="00CE3799">
      <w:pPr>
        <w:spacing w:after="160" w:line="259" w:lineRule="auto"/>
        <w:rPr>
          <w:rFonts w:ascii="Menlo" w:hAnsi="Menlo" w:cs="Menlo"/>
          <w:color w:val="D8DEE9"/>
          <w:sz w:val="18"/>
          <w:szCs w:val="18"/>
        </w:rPr>
      </w:pPr>
    </w:p>
    <w:p w14:paraId="74EEE891" w14:textId="77777777" w:rsidR="00D271A0" w:rsidRDefault="00D271A0" w:rsidP="00CE3799">
      <w:pPr>
        <w:spacing w:after="160" w:line="259" w:lineRule="auto"/>
        <w:rPr>
          <w:rFonts w:ascii="Menlo" w:hAnsi="Menlo" w:cs="Menlo"/>
          <w:color w:val="D8DEE9"/>
          <w:sz w:val="18"/>
          <w:szCs w:val="18"/>
        </w:rPr>
      </w:pPr>
    </w:p>
    <w:p w14:paraId="631CB355" w14:textId="77777777" w:rsidR="00D271A0" w:rsidRDefault="00D271A0" w:rsidP="00CE3799">
      <w:pPr>
        <w:spacing w:after="160" w:line="259" w:lineRule="auto"/>
        <w:rPr>
          <w:rFonts w:ascii="Menlo" w:hAnsi="Menlo" w:cs="Menlo"/>
          <w:color w:val="D8DEE9"/>
          <w:sz w:val="18"/>
          <w:szCs w:val="18"/>
        </w:rPr>
      </w:pPr>
    </w:p>
    <w:p w14:paraId="53AB90DC" w14:textId="77777777" w:rsidR="00D271A0" w:rsidRDefault="00D271A0" w:rsidP="00CE3799">
      <w:pPr>
        <w:spacing w:after="160" w:line="259" w:lineRule="auto"/>
        <w:rPr>
          <w:rFonts w:ascii="Menlo" w:hAnsi="Menlo" w:cs="Menlo"/>
          <w:color w:val="D8DEE9"/>
          <w:sz w:val="18"/>
          <w:szCs w:val="18"/>
        </w:rPr>
      </w:pPr>
    </w:p>
    <w:p w14:paraId="1656FF4B" w14:textId="77777777" w:rsidR="00D271A0" w:rsidRDefault="00D271A0" w:rsidP="00CE3799">
      <w:pPr>
        <w:spacing w:after="160" w:line="259" w:lineRule="auto"/>
        <w:rPr>
          <w:rFonts w:ascii="Menlo" w:hAnsi="Menlo" w:cs="Menlo"/>
          <w:color w:val="D8DEE9"/>
          <w:sz w:val="18"/>
          <w:szCs w:val="18"/>
        </w:rPr>
      </w:pPr>
    </w:p>
    <w:p w14:paraId="09648B58" w14:textId="77777777" w:rsidR="00D271A0" w:rsidRDefault="00D271A0" w:rsidP="00CE3799">
      <w:pPr>
        <w:spacing w:after="160" w:line="259" w:lineRule="auto"/>
        <w:rPr>
          <w:rFonts w:ascii="Menlo" w:hAnsi="Menlo" w:cs="Menlo"/>
          <w:color w:val="D8DEE9"/>
          <w:sz w:val="18"/>
          <w:szCs w:val="18"/>
        </w:rPr>
      </w:pPr>
    </w:p>
    <w:p w14:paraId="1AA502A4" w14:textId="77777777" w:rsidR="00D271A0" w:rsidRDefault="00D271A0" w:rsidP="00CE3799">
      <w:pPr>
        <w:spacing w:after="160" w:line="259" w:lineRule="auto"/>
        <w:rPr>
          <w:rFonts w:ascii="Menlo" w:hAnsi="Menlo" w:cs="Menlo"/>
          <w:color w:val="D8DEE9"/>
          <w:sz w:val="18"/>
          <w:szCs w:val="18"/>
        </w:rPr>
      </w:pPr>
    </w:p>
    <w:p w14:paraId="3DC47565" w14:textId="77777777" w:rsidR="00D271A0" w:rsidRDefault="00D271A0" w:rsidP="00CE3799">
      <w:pPr>
        <w:spacing w:after="160" w:line="259" w:lineRule="auto"/>
        <w:rPr>
          <w:rFonts w:ascii="Menlo" w:hAnsi="Menlo" w:cs="Menlo"/>
          <w:color w:val="D8DEE9"/>
          <w:sz w:val="18"/>
          <w:szCs w:val="18"/>
        </w:rPr>
      </w:pPr>
    </w:p>
    <w:p w14:paraId="6ECDADAA" w14:textId="77777777" w:rsidR="00D271A0" w:rsidRDefault="00D271A0" w:rsidP="00CE3799">
      <w:pPr>
        <w:spacing w:after="160" w:line="259" w:lineRule="auto"/>
        <w:rPr>
          <w:rFonts w:ascii="Menlo" w:hAnsi="Menlo" w:cs="Menlo"/>
          <w:color w:val="D8DEE9"/>
          <w:sz w:val="18"/>
          <w:szCs w:val="18"/>
        </w:rPr>
      </w:pPr>
    </w:p>
    <w:p w14:paraId="0E6225F1" w14:textId="2F65AD99" w:rsidR="00702FCC" w:rsidRDefault="00702FCC" w:rsidP="00CE3799">
      <w:pPr>
        <w:spacing w:after="160" w:line="360" w:lineRule="auto"/>
        <w:jc w:val="both"/>
        <w:rPr>
          <w:lang w:val="en-US"/>
        </w:rPr>
      </w:pPr>
      <w:r>
        <w:rPr>
          <w:rFonts w:ascii="Times New Roman" w:hAnsi="Times New Roman"/>
          <w:sz w:val="24"/>
        </w:rPr>
        <w:t>INVESTMENT MEMORANDUM – StoreDot</w:t>
      </w:r>
    </w:p>
    <w:p w14:paraId="13E79270" w14:textId="77777777" w:rsidR="00F87D6F" w:rsidRPr="00F87D6F" w:rsidRDefault="00F87D6F" w:rsidP="00F87D6F">
      <w:pPr>
        <w:spacing w:after="160" w:line="259" w:lineRule="auto"/>
        <w:rPr>
          <w:lang w:val="en-US"/>
        </w:rPr>
      </w:pPr>
    </w:p>
    <w:p w14:paraId="614BC716" w14:textId="77777777" w:rsidR="001A3A2E" w:rsidRDefault="001A3A2E" w:rsidP="001A3A2E">
      <w:pPr>
        <w:spacing w:after="160" w:line="259" w:lineRule="auto"/>
        <w:jc w:val="center"/>
        <w:rPr>
          <w:lang w:val="en-US"/>
        </w:rPr>
      </w:pPr>
    </w:p>
    <w:p w14:paraId="0EB7E562" w14:textId="77777777" w:rsidR="00830FE5" w:rsidRDefault="00830FE5" w:rsidP="001A3A2E">
      <w:pPr>
        <w:spacing w:after="160" w:line="259" w:lineRule="auto"/>
        <w:jc w:val="center"/>
        <w:rPr>
          <w:lang w:val="en-US"/>
        </w:rPr>
      </w:pPr>
    </w:p>
    <w:p w14:paraId="31709D37" w14:textId="77777777" w:rsidR="00830FE5" w:rsidRDefault="00830FE5" w:rsidP="001A3A2E">
      <w:pPr>
        <w:spacing w:after="160" w:line="259" w:lineRule="auto"/>
        <w:jc w:val="center"/>
        <w:rPr>
          <w:lang w:val="en-US"/>
        </w:rPr>
      </w:pPr>
    </w:p>
    <w:p w14:paraId="2ACAB304" w14:textId="77777777" w:rsidR="00830FE5" w:rsidRDefault="00830FE5" w:rsidP="001A3A2E">
      <w:pPr>
        <w:spacing w:after="160" w:line="259" w:lineRule="auto"/>
        <w:jc w:val="center"/>
        <w:rPr>
          <w:lang w:val="en-US"/>
        </w:rPr>
      </w:pPr>
    </w:p>
    <w:p w14:paraId="37860182" w14:textId="77777777" w:rsidR="00830FE5" w:rsidRDefault="00830FE5" w:rsidP="001A3A2E">
      <w:pPr>
        <w:spacing w:after="160" w:line="259" w:lineRule="auto"/>
        <w:jc w:val="center"/>
        <w:rPr>
          <w:lang w:val="en-US"/>
        </w:rPr>
      </w:pPr>
    </w:p>
    <w:p w14:paraId="08B643F9" w14:textId="77777777" w:rsidR="00830FE5" w:rsidRDefault="00830FE5" w:rsidP="001A3A2E">
      <w:pPr>
        <w:spacing w:after="160" w:line="259" w:lineRule="auto"/>
        <w:jc w:val="center"/>
        <w:rPr>
          <w:lang w:val="en-US"/>
        </w:rPr>
      </w:pPr>
    </w:p>
    <w:p w14:paraId="4B066404" w14:textId="77777777" w:rsidR="00830FE5" w:rsidRDefault="00830FE5" w:rsidP="001A3A2E">
      <w:pPr>
        <w:spacing w:after="160" w:line="259" w:lineRule="auto"/>
        <w:jc w:val="center"/>
        <w:rPr>
          <w:lang w:val="en-US"/>
        </w:rPr>
      </w:pPr>
    </w:p>
    <w:p w14:paraId="293321F0" w14:textId="77777777" w:rsidR="00830FE5" w:rsidRDefault="00830FE5" w:rsidP="001A3A2E">
      <w:pPr>
        <w:spacing w:after="160" w:line="259" w:lineRule="auto"/>
        <w:jc w:val="center"/>
        <w:rPr>
          <w:lang w:val="en-US"/>
        </w:rPr>
      </w:pPr>
    </w:p>
    <w:p w14:paraId="704C4B7E" w14:textId="77777777" w:rsidR="00830FE5" w:rsidRDefault="00830FE5" w:rsidP="001A3A2E">
      <w:pPr>
        <w:spacing w:after="160" w:line="259" w:lineRule="auto"/>
        <w:jc w:val="center"/>
        <w:rPr>
          <w:lang w:val="en-US"/>
        </w:rPr>
      </w:pPr>
    </w:p>
    <w:p w14:paraId="21905551" w14:textId="77777777" w:rsidR="00830FE5" w:rsidRDefault="00830FE5" w:rsidP="001A3A2E">
      <w:pPr>
        <w:spacing w:after="160" w:line="259" w:lineRule="auto"/>
        <w:jc w:val="center"/>
        <w:rPr>
          <w:lang w:val="en-US"/>
        </w:rPr>
      </w:pPr>
    </w:p>
    <w:p w14:paraId="78FE3437" w14:textId="2751F3F2" w:rsidR="00830FE5" w:rsidRDefault="008F250D" w:rsidP="008F250D">
      <w:pPr>
        <w:tabs>
          <w:tab w:val="left" w:pos="5845"/>
        </w:tabs>
        <w:spacing w:after="160" w:line="259" w:lineRule="auto"/>
        <w:rPr>
          <w:lang w:val="en-US"/>
        </w:rPr>
      </w:pPr>
      <w:r>
        <w:rPr>
          <w:lang w:val="en-US"/>
        </w:rPr>
        <w:tab/>
      </w:r>
    </w:p>
    <w:p w14:paraId="0D8D7E32" w14:textId="77777777" w:rsidR="00830FE5" w:rsidRDefault="00830FE5" w:rsidP="001A3A2E">
      <w:pPr>
        <w:spacing w:after="160" w:line="259" w:lineRule="auto"/>
        <w:jc w:val="center"/>
        <w:rPr>
          <w:lang w:val="en-US"/>
        </w:rPr>
      </w:pPr>
    </w:p>
    <w:p w14:paraId="0B7210AE" w14:textId="77777777" w:rsidR="00830FE5" w:rsidRDefault="00830FE5" w:rsidP="001A3A2E">
      <w:pPr>
        <w:spacing w:after="160" w:line="259" w:lineRule="auto"/>
        <w:jc w:val="center"/>
        <w:rPr>
          <w:lang w:val="en-US"/>
        </w:rPr>
      </w:pPr>
    </w:p>
    <w:p w14:paraId="5F3E52D7" w14:textId="27267B34" w:rsidR="00C802F8" w:rsidRDefault="00C802F8" w:rsidP="00C802F8">
      <w:pPr>
        <w:tabs>
          <w:tab w:val="left" w:pos="3060"/>
        </w:tabs>
        <w:rPr>
          <w:lang w:val="en-US"/>
        </w:rPr>
      </w:pPr>
    </w:p>
    <w:p w14:paraId="5C7D0E45" w14:textId="77777777" w:rsidR="00C802F8" w:rsidRPr="00C802F8" w:rsidRDefault="00C802F8" w:rsidP="00C802F8">
      <w:pPr>
        <w:tabs>
          <w:tab w:val="left" w:pos="3060"/>
        </w:tabs>
        <w:rPr>
          <w:lang w:val="en-US"/>
        </w:rPr>
      </w:pPr>
    </w:p>
    <w:p>
      <w:pPr>
        <w:spacing w:after="0"/>
      </w:pPr>
    </w:p>
    <w:p>
      <w:pPr>
        <w:spacing w:line="360" w:lineRule="auto" w:after="120"/>
        <w:jc w:val="both"/>
      </w:pPr>
      <w:r>
        <w:rPr>
          <w:rFonts w:ascii="Times New Roman" w:hAnsi="Times New Roman"/>
          <w:b/>
          <w:sz w:val="24"/>
        </w:rPr>
        <w:t>1. DETAILED SUMMARY</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after="0"/>
      </w:pPr>
    </w:p>
    <w:p>
      <w:pPr>
        <w:spacing w:line="360" w:lineRule="auto" w:after="120"/>
        <w:jc w:val="both"/>
      </w:pPr>
      <w:r>
        <w:rPr>
          <w:rFonts w:ascii="Times New Roman" w:hAnsi="Times New Roman"/>
          <w:b/>
          <w:sz w:val="24"/>
        </w:rPr>
        <w:t>2. COMPANY OVERVIEW</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founded by 'Doron Myersdorf' in sector 'Battery Technology' is https://storedot,doronmyersdorf,batterytechnology.com.</w:t>
      </w:r>
    </w:p>
    <w:p>
      <w:pPr>
        <w:spacing w:line="360" w:lineRule="auto"/>
        <w:jc w:val="both"/>
      </w:pPr>
      <w:r>
        <w:rPr>
          <w:rFonts w:ascii="Times New Roman" w:hAnsi="Times New Roman"/>
          <w:sz w:val="24"/>
        </w:rPr>
        <w:t>Funding Stage: Undisclosed</w:t>
      </w:r>
    </w:p>
    <w:p>
      <w:pPr>
        <w:spacing w:line="360" w:lineRule="auto"/>
        <w:jc w:val="both"/>
      </w:pPr>
      <w:r>
        <w:rPr>
          <w:rFonts w:ascii="Times New Roman" w:hAnsi="Times New Roman"/>
          <w:sz w:val="24"/>
        </w:rPr>
        <w:t>Team: Doron Myersdorf</w:t>
      </w:r>
    </w:p>
    <w:p>
      <w:pPr>
        <w:spacing w:after="0"/>
      </w:pPr>
    </w:p>
    <w:p>
      <w:pPr>
        <w:spacing w:line="360" w:lineRule="auto" w:after="120"/>
        <w:jc w:val="both"/>
      </w:pPr>
      <w:r>
        <w:rPr>
          <w:rFonts w:ascii="Times New Roman" w:hAnsi="Times New Roman"/>
          <w:b/>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after="0"/>
      </w:pPr>
    </w:p>
    <w:p>
      <w:pPr>
        <w:spacing w:line="360" w:lineRule="auto" w:after="120"/>
        <w:jc w:val="both"/>
      </w:pPr>
      <w:r>
        <w:rPr>
          <w:rFonts w:ascii="Times New Roman" w:hAnsi="Times New Roman"/>
          <w:b/>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after="0"/>
      </w:pPr>
    </w:p>
    <w:p>
      <w:pPr>
        <w:spacing w:line="360" w:lineRule="auto" w:after="120"/>
        <w:jc w:val="both"/>
      </w:pPr>
      <w:r>
        <w:rPr>
          <w:rFonts w:ascii="Times New Roman" w:hAnsi="Times New Roman"/>
          <w:b/>
          <w:sz w:val="24"/>
        </w:rPr>
        <w:t>5. MARKET SIZE &amp; ANALYSIS</w:t>
      </w:r>
    </w:p>
    <w:p>
      <w:pPr>
        <w:spacing w:line="360" w:lineRule="auto"/>
        <w:jc w:val="both"/>
      </w:pPr>
      <w:r>
        <w:rPr>
          <w:rFonts w:ascii="Times New Roman" w:hAnsi="Times New Roman"/>
          <w:sz w:val="24"/>
        </w:rPr>
        <w:t>TAM $120 K, SAM $30 K, SOM $6 K; Market Penetration: 5.0 %</w:t>
      </w:r>
    </w:p>
    <w:p>
      <w:pPr>
        <w:spacing w:line="360" w:lineRule="auto"/>
        <w:jc w:val="both"/>
      </w:pPr>
      <w:r>
        <w:rPr>
          <w:rFonts w:ascii="Times New Roman" w:hAnsi="Times New Roman"/>
          <w:sz w:val="24"/>
        </w:rPr>
        <w:t>Battery Technology</w:t>
      </w:r>
    </w:p>
    <w:p>
      <w:pPr>
        <w:spacing w:after="0"/>
      </w:pPr>
    </w:p>
    <w:p>
      <w:pPr>
        <w:spacing w:line="360" w:lineRule="auto" w:after="120"/>
        <w:jc w:val="both"/>
      </w:pPr>
      <w:r>
        <w:rPr>
          <w:rFonts w:ascii="Times New Roman" w:hAnsi="Times New Roman"/>
          <w:b/>
          <w:sz w:val="24"/>
        </w:rPr>
        <w:t>6. COMPETITIVE LANDSCAPE</w:t>
      </w:r>
    </w:p>
    <w:p>
      <w:pPr>
        <w:spacing w:line="360" w:lineRule="auto"/>
        <w:jc w:val="both"/>
      </w:pPr>
      <w:r>
        <w:rPr>
          <w:rFonts w:ascii="Times New Roman" w:hAnsi="Times New Roman"/>
          <w:sz w:val="24"/>
        </w:rPr>
        <w:t>• QuantumScape: Developing solid-state lithium-metal batteries promising higher energy density and faster charging times.</w:t>
      </w:r>
    </w:p>
    <w:p>
      <w:pPr>
        <w:spacing w:line="360" w:lineRule="auto"/>
        <w:jc w:val="both"/>
      </w:pPr>
      <w:r>
        <w:rPr>
          <w:rFonts w:ascii="Times New Roman" w:hAnsi="Times New Roman"/>
          <w:sz w:val="24"/>
        </w:rPr>
        <w:t>Strengths: [Not specified]</w:t>
      </w:r>
    </w:p>
    <w:p>
      <w:pPr>
        <w:spacing w:line="360" w:lineRule="auto"/>
        <w:jc w:val="both"/>
      </w:pPr>
      <w:r>
        <w:rPr>
          <w:rFonts w:ascii="Times New Roman" w:hAnsi="Times New Roman"/>
          <w:sz w:val="24"/>
        </w:rPr>
        <w:t>Weaknesses: [Not specified]</w:t>
      </w:r>
    </w:p>
    <w:p>
      <w:pPr>
        <w:spacing w:line="360" w:lineRule="auto"/>
        <w:jc w:val="both"/>
      </w:pPr>
      <w:r>
        <w:rPr>
          <w:rFonts w:ascii="Times New Roman" w:hAnsi="Times New Roman"/>
          <w:sz w:val="24"/>
        </w:rPr>
        <w:t>• Sila Nanotechnologies: Focuses on silicon-dominant anode materials to significantly increase battery capacity and charging speed.</w:t>
      </w:r>
    </w:p>
    <w:p>
      <w:pPr>
        <w:spacing w:line="360" w:lineRule="auto"/>
        <w:jc w:val="both"/>
      </w:pPr>
      <w:r>
        <w:rPr>
          <w:rFonts w:ascii="Times New Roman" w:hAnsi="Times New Roman"/>
          <w:sz w:val="24"/>
        </w:rPr>
        <w:t>• Solid Power: Produces all-solid-state batteries with enhanced safety and energy density targeting automotive applications.</w:t>
      </w:r>
    </w:p>
    <w:p>
      <w:pPr>
        <w:spacing w:after="0"/>
      </w:pPr>
    </w:p>
    <w:p>
      <w:pPr>
        <w:spacing w:line="360" w:lineRule="auto" w:after="120"/>
        <w:jc w:val="both"/>
      </w:pPr>
      <w:r>
        <w:rPr>
          <w:rFonts w:ascii="Times New Roman" w:hAnsi="Times New Roman"/>
          <w:b/>
          <w:sz w:val="24"/>
        </w:rPr>
        <w:t>7. BUSINESS MODEL</w:t>
      </w:r>
    </w:p>
    <w:p>
      <w:pPr>
        <w:spacing w:line="360" w:lineRule="auto"/>
        <w:jc w:val="both"/>
      </w:pPr>
      <w:r>
        <w:rPr>
          <w:rFonts w:ascii="Times New Roman" w:hAnsi="Times New Roman"/>
          <w:sz w:val="24"/>
        </w:rPr>
        <w:t>StoreDot is a battery technology startup focused on enabling extreme fast charging (XFC) for electric vehicles (EVs), aiming to eliminate "charging anxiety" by delivering a 100-mile charge in 5 minutes with their proprietary silicon-dominant anode lithium-ion cells. Their business model centers on licensing this scalable, drop-in compatible battery technology to OEMs and manufacturing partners, leveraging existing lithium-ion production lines to minimize capital expenditure and accelerate adoption. Key customer segments include EV manufacturers and battery producers seeking to differentiate through superior charging speed and battery longevity (&gt;1200 XFC cycles without degradation). StoreDot’s go-to-market strategy involves ongoing testing and partnerships with over 15 OEMs worldwide, targeting commercial readiness by 2025, positioning them ahead of competing battery chemistries that are less mature or require higher CAPEX. The technology’s scalability and cost alignment with industry trends support strong growth potential as EV adoption surpasses 60% of new vehicle sales by 2030 in major markets (US, EU, China). No recent pivots were noted; the company continues to advance its roadmap toward semi-solid and post-lithium batteries for 2028 and 2032, respectively. (Sources: StoreDot April 2023 Corporate Overview; UBS EV Battery Market Report)</w:t>
      </w:r>
    </w:p>
    <w:p>
      <w:pPr>
        <w:spacing w:after="0"/>
      </w:pPr>
    </w:p>
    <w:p>
      <w:pPr>
        <w:spacing w:line="360" w:lineRule="auto" w:after="120"/>
        <w:jc w:val="both"/>
      </w:pPr>
      <w:r>
        <w:rPr>
          <w:rFonts w:ascii="Times New Roman" w:hAnsi="Times New Roman"/>
          <w:b/>
          <w:sz w:val="24"/>
        </w:rPr>
        <w:t>8. TECHNICAL DUE DILIGENCE</w:t>
      </w:r>
    </w:p>
    <w:p>
      <w:pPr>
        <w:spacing w:line="360" w:lineRule="auto"/>
        <w:jc w:val="both"/>
      </w:pPr>
      <w:r>
        <w:rPr>
          <w:rFonts w:ascii="Times New Roman" w:hAnsi="Times New Roman"/>
          <w:sz w:val="24"/>
        </w:rPr>
        <w:t>Technology Maturity: prototype. Moat: Groundbreaking extreme fast charging technology with proven performance and patent portfolio. Further technical due diligence is required, including independent validation of performance claims, cycle life, and safety.</w:t>
      </w:r>
    </w:p>
    <w:p>
      <w:pPr>
        <w:spacing w:after="0"/>
      </w:pPr>
    </w:p>
    <w:p>
      <w:pPr>
        <w:spacing w:line="360" w:lineRule="auto" w:after="120"/>
        <w:jc w:val="both"/>
      </w:pPr>
      <w:r>
        <w:rPr>
          <w:rFonts w:ascii="Times New Roman" w:hAnsi="Times New Roman"/>
          <w:b/>
          <w:sz w:val="24"/>
        </w:rPr>
        <w:t>9. PRODUCT DESCRIPTION</w:t>
      </w:r>
    </w:p>
    <w:p>
      <w:pPr>
        <w:spacing w:line="360" w:lineRule="auto"/>
        <w:jc w:val="both"/>
      </w:pPr>
      <w:r>
        <w:rPr>
          <w:rFonts w:ascii="Times New Roman" w:hAnsi="Times New Roman"/>
          <w:sz w:val="24"/>
        </w:rPr>
        <w:t>Groundbreaking extreme fast charging technology with proven performance and patent portfolio</w:t>
      </w:r>
    </w:p>
    <w:p>
      <w:pPr>
        <w:spacing w:after="0"/>
      </w:pPr>
    </w:p>
    <w:p>
      <w:pPr>
        <w:spacing w:line="360" w:lineRule="auto" w:after="120"/>
        <w:jc w:val="both"/>
      </w:pPr>
      <w:r>
        <w:rPr>
          <w:rFonts w:ascii="Times New Roman" w:hAnsi="Times New Roman"/>
          <w:b/>
          <w:sz w:val="24"/>
        </w:rPr>
        <w:t>10. FINANCIAL ANALYSIS</w:t>
      </w:r>
    </w:p>
    <w:p>
      <w:pPr>
        <w:spacing w:line="360" w:lineRule="auto"/>
        <w:jc w:val="both"/>
      </w:pPr>
      <w:r>
        <w:rPr>
          <w:rFonts w:ascii="Times New Roman" w:hAnsi="Times New Roman"/>
          <w:sz w:val="24"/>
        </w:rPr>
        <w:t>Company has not released financials as of July 13, 2025.</w:t>
      </w:r>
    </w:p>
    <w:p>
      <w:pPr>
        <w:spacing w:after="0"/>
      </w:pPr>
    </w:p>
    <w:p>
      <w:pPr>
        <w:spacing w:line="360" w:lineRule="auto" w:after="120"/>
        <w:jc w:val="both"/>
      </w:pPr>
      <w:r>
        <w:rPr>
          <w:rFonts w:ascii="Times New Roman" w:hAnsi="Times New Roman"/>
          <w:b/>
          <w:sz w:val="24"/>
        </w:rPr>
        <w:t>11. TEAM &amp; MANAGEMENT</w:t>
      </w:r>
    </w:p>
    <w:p>
      <w:pPr>
        <w:spacing w:line="360" w:lineRule="auto"/>
        <w:jc w:val="both"/>
      </w:pPr>
      <w:r>
        <w:rPr>
          <w:rFonts w:ascii="Times New Roman" w:hAnsi="Times New Roman"/>
          <w:sz w:val="24"/>
        </w:rPr>
        <w:t>Founder: Doron Myersdorf</w:t>
      </w:r>
    </w:p>
    <w:p>
      <w:pPr>
        <w:spacing w:line="360" w:lineRule="auto"/>
        <w:jc w:val="both"/>
      </w:pPr>
      <w:r>
        <w:rPr>
          <w:rFonts w:ascii="Times New Roman" w:hAnsi="Times New Roman"/>
          <w:sz w:val="24"/>
        </w:rPr>
        <w:t>Founder Fit Score: 0.8</w:t>
      </w:r>
    </w:p>
    <w:p>
      <w:pPr>
        <w:spacing w:line="360" w:lineRule="auto"/>
        <w:jc w:val="both"/>
      </w:pPr>
      <w:r>
        <w:rPr>
          <w:rFonts w:ascii="Times New Roman" w:hAnsi="Times New Roman"/>
          <w:sz w:val="24"/>
        </w:rPr>
        <w:t>Prior Exits: 2</w:t>
      </w:r>
    </w:p>
    <w:p>
      <w:pPr>
        <w:spacing w:line="360" w:lineRule="auto"/>
        <w:jc w:val="both"/>
      </w:pPr>
      <w:r>
        <w:rPr>
          <w:rFonts w:ascii="Times New Roman" w:hAnsi="Times New Roman"/>
          <w:sz w:val="24"/>
        </w:rPr>
        <w:t>Sector Experience: Battery Technology</w:t>
      </w:r>
    </w:p>
    <w:p>
      <w:pPr>
        <w:spacing w:after="0"/>
      </w:pPr>
    </w:p>
    <w:p>
      <w:pPr>
        <w:spacing w:line="360" w:lineRule="auto" w:after="120"/>
        <w:jc w:val="both"/>
      </w:pPr>
      <w:r>
        <w:rPr>
          <w:rFonts w:ascii="Times New Roman" w:hAnsi="Times New Roman"/>
          <w:b/>
          <w:sz w:val="24"/>
        </w:rPr>
        <w:t>12. ESG CONSIDERATIONS</w:t>
      </w:r>
    </w:p>
    <w:p>
      <w:pPr>
        <w:spacing w:line="360" w:lineRule="auto"/>
        <w:jc w:val="both"/>
      </w:pPr>
      <w:r>
        <w:rPr>
          <w:rFonts w:ascii="Times New Roman" w:hAnsi="Times New Roman"/>
          <w:sz w:val="24"/>
        </w:rPr>
        <w:t>StoreDot is advancing extreme fast charging (XFC) lithium-ion battery technology aimed at accelerating electric vehicle (EV) adoption by addressing key barriers such as charging time and infrastructure limitations. Their technology promises charging speeds twice as fast as current premium models, with over 1200 consecutive fast charge cycles without degradation, and is compatible with existing Li-ion manufacturing lines, supporting scalability and cost efficiency. ESG considerations include a focus on reducing cobalt content, which aligns with sustainable material sourcing, and enabling broader EV adoption, contributing positively to environmental impact by reducing fossil fuel dependence. The leadership team comprises experienced executives with strong backgrounds in automotive and battery industries, supporting robust governance and strategic oversight. However, public data on StoreDot’s social impact initiatives, detailed supply chain labor practices, and regulatory compliance specifics are limited, and no recent ESG controversies or news were identified in available sources.</w:t>
      </w:r>
    </w:p>
    <w:p>
      <w:pPr>
        <w:spacing w:line="360" w:lineRule="auto"/>
        <w:jc w:val="both"/>
      </w:pPr>
      <w:r>
        <w:rPr>
          <w:rFonts w:ascii="Times New Roman" w:hAnsi="Times New Roman"/>
          <w:sz w:val="24"/>
        </w:rPr>
        <w:t>Sources: StoreDot Corporate Overview April 2023; UBS - Global Electric Vehicle Battery Makers report; StoreDot patent portfolio details.</w:t>
      </w:r>
    </w:p>
    <w:p>
      <w:pPr>
        <w:spacing w:after="0"/>
      </w:pPr>
    </w:p>
    <w:p>
      <w:pPr>
        <w:spacing w:line="360" w:lineRule="auto" w:after="120"/>
        <w:jc w:val="both"/>
      </w:pPr>
      <w:r>
        <w:rPr>
          <w:rFonts w:ascii="Times New Roman" w:hAnsi="Times New Roman"/>
          <w:b/>
          <w:sz w:val="24"/>
        </w:rPr>
        <w:t>13. RISKS &amp; MITIGATIONS</w:t>
      </w:r>
    </w:p>
    <w:p>
      <w:pPr>
        <w:spacing w:line="360" w:lineRule="auto"/>
        <w:jc w:val="both"/>
      </w:pPr>
      <w:r>
        <w:rPr>
          <w:rFonts w:ascii="Times New Roman" w:hAnsi="Times New Roman"/>
          <w:sz w:val="24"/>
        </w:rPr>
        <w:t>Overall Risk Level: N/A</w:t>
      </w:r>
    </w:p>
    <w:p>
      <w:pPr>
        <w:spacing w:after="0"/>
      </w:pPr>
    </w:p>
    <w:p>
      <w:pPr>
        <w:spacing w:line="360" w:lineRule="auto" w:after="120"/>
        <w:jc w:val="both"/>
      </w:pPr>
      <w:r>
        <w:rPr>
          <w:rFonts w:ascii="Times New Roman" w:hAnsi="Times New Roman"/>
          <w:b/>
          <w:sz w:val="24"/>
        </w:rPr>
        <w:t>IDENTIFIED RISKS:</w:t>
      </w:r>
    </w:p>
    <w:p>
      <w:pPr>
        <w:spacing w:line="360" w:lineRule="auto"/>
        <w:jc w:val="both"/>
      </w:pPr>
      <w:r>
        <w:rPr>
          <w:rFonts w:ascii="Times New Roman" w:hAnsi="Times New Roman"/>
          <w:sz w:val="24"/>
        </w:rPr>
        <w:t>1. Market competition</w:t>
      </w:r>
    </w:p>
    <w:p>
      <w:pPr>
        <w:spacing w:line="360" w:lineRule="auto"/>
        <w:jc w:val="both"/>
      </w:pPr>
      <w:r>
        <w:rPr>
          <w:rFonts w:ascii="Times New Roman" w:hAnsi="Times New Roman"/>
          <w:sz w:val="24"/>
        </w:rPr>
        <w:t>2. Financial health</w:t>
      </w:r>
    </w:p>
    <w:p>
      <w:pPr>
        <w:spacing w:line="360" w:lineRule="auto"/>
        <w:jc w:val="both"/>
      </w:pPr>
      <w:r>
        <w:rPr>
          <w:rFonts w:ascii="Times New Roman" w:hAnsi="Times New Roman"/>
          <w:sz w:val="24"/>
        </w:rPr>
        <w:t>3. Regulatory risks</w:t>
      </w:r>
    </w:p>
    <w:p>
      <w:pPr>
        <w:spacing w:after="0"/>
      </w:pPr>
    </w:p>
    <w:p>
      <w:pPr>
        <w:spacing w:line="360" w:lineRule="auto" w:after="120"/>
        <w:jc w:val="both"/>
      </w:pPr>
      <w:r>
        <w:rPr>
          <w:rFonts w:ascii="Times New Roman" w:hAnsi="Times New Roman"/>
          <w:b/>
          <w:sz w:val="24"/>
        </w:rPr>
        <w:t>14. INVESTMENT &amp; EXIT STRATEGIES</w:t>
      </w:r>
    </w:p>
    <w:p>
      <w:pPr>
        <w:spacing w:line="360" w:lineRule="auto"/>
        <w:jc w:val="both"/>
      </w:pPr>
      <w:r>
        <w:rPr>
          <w:rFonts w:ascii="Times New Roman" w:hAnsi="Times New Roman"/>
          <w:sz w:val="24"/>
        </w:rPr>
        <w:t>Based on the information provided, StoreDot's extreme fast charging battery technology for EVs seems to have a promising future. With a 3-5 years' lead on alternative solutions and ongoing testing by OEMs and manufacturing partners, the company is commercially ready in 2025. The technology's scalability, compatibility with existing lithium-ion battery technologies, and competitive cost structure make it an attractive acquisition target for major players in the EV industry. Potential exit scenarios could include acquisition by a leading EV manufacturer or battery technology company, with an IPO as a secondary option if the company continues to demonstrate strong growth and market demand. Additional information needed for a more detailed analysis includes financial projections, market penetration strategies, and potential partnerships or collaborations with key industry players.</w:t>
      </w:r>
    </w:p>
    <w:p>
      <w:pPr>
        <w:spacing w:after="0"/>
      </w:pPr>
    </w:p>
    <w:p>
      <w:pPr>
        <w:spacing w:line="360" w:lineRule="auto" w:after="120"/>
        <w:jc w:val="both"/>
      </w:pPr>
      <w:r>
        <w:rPr>
          <w:rFonts w:ascii="Times New Roman" w:hAnsi="Times New Roman"/>
          <w:b/>
          <w:sz w:val="24"/>
        </w:rPr>
        <w:t>15. FOLLOW-UP QUESTIONS &amp; NEXT STEPS</w:t>
      </w:r>
    </w:p>
    <w:p>
      <w:pPr>
        <w:spacing w:line="360" w:lineRule="auto"/>
        <w:jc w:val="both"/>
      </w:pPr>
      <w:r>
        <w:rPr>
          <w:rFonts w:ascii="Times New Roman" w:hAnsi="Times New Roman"/>
          <w:sz w:val="24"/>
        </w:rPr>
        <w:t>- **Technology Validation &amp; IP**</w:t>
      </w:r>
    </w:p>
    <w:p>
      <w:pPr>
        <w:spacing w:line="360" w:lineRule="auto"/>
        <w:jc w:val="both"/>
      </w:pPr>
      <w:r>
        <w:rPr>
          <w:rFonts w:ascii="Times New Roman" w:hAnsi="Times New Roman"/>
          <w:sz w:val="24"/>
        </w:rPr>
        <w:t>- Can StoreDot provide independent third-party test results validating the 10-minute charging claim and &gt;1200 cycle life without degradation?</w:t>
      </w:r>
    </w:p>
    <w:p>
      <w:pPr>
        <w:spacing w:line="360" w:lineRule="auto"/>
        <w:jc w:val="both"/>
      </w:pPr>
      <w:r>
        <w:rPr>
          <w:rFonts w:ascii="Times New Roman" w:hAnsi="Times New Roman"/>
          <w:sz w:val="24"/>
        </w:rPr>
        <w:t>- What is the geographic coverage and remaining lifespan of the 78 granted and 22 pending patents? Any known IP challenges or infringements?</w:t>
      </w:r>
    </w:p>
    <w:p>
      <w:pPr>
        <w:spacing w:line="360" w:lineRule="auto"/>
        <w:jc w:val="both"/>
      </w:pPr>
      <w:r>
        <w:rPr>
          <w:rFonts w:ascii="Times New Roman" w:hAnsi="Times New Roman"/>
          <w:sz w:val="24"/>
        </w:rPr>
        <w:t>- Details on the semi-solid and post-lithium chemistries roadmap: what are the key technical risks and milestones to achieve production readiness by 2028 and 2032?</w:t>
      </w:r>
    </w:p>
    <w:p>
      <w:pPr>
        <w:spacing w:line="360" w:lineRule="auto"/>
        <w:jc w:val="both"/>
      </w:pPr>
      <w:r>
        <w:rPr>
          <w:rFonts w:ascii="Times New Roman" w:hAnsi="Times New Roman"/>
          <w:sz w:val="24"/>
        </w:rPr>
        <w:t>- **OEM &amp; Manufacturing Partnerships**</w:t>
      </w:r>
    </w:p>
    <w:p>
      <w:pPr>
        <w:spacing w:line="360" w:lineRule="auto"/>
        <w:jc w:val="both"/>
      </w:pPr>
      <w:r>
        <w:rPr>
          <w:rFonts w:ascii="Times New Roman" w:hAnsi="Times New Roman"/>
          <w:sz w:val="24"/>
        </w:rPr>
        <w:t>- Who are the &gt;15 OEMs and manufacturing partners currently testing the 100in5 cells? What are the terms and exclusivity of these partnerships?</w:t>
      </w:r>
    </w:p>
    <w:p>
      <w:pPr>
        <w:spacing w:line="360" w:lineRule="auto"/>
        <w:jc w:val="both"/>
      </w:pPr>
      <w:r>
        <w:rPr>
          <w:rFonts w:ascii="Times New Roman" w:hAnsi="Times New Roman"/>
          <w:sz w:val="24"/>
        </w:rPr>
        <w:t>- What is the scale and timeline for commercial production ramp-up starting in 2025? Are there any signed supply agreements or LOIs?</w:t>
      </w:r>
    </w:p>
    <w:p>
      <w:pPr>
        <w:spacing w:line="360" w:lineRule="auto"/>
        <w:jc w:val="both"/>
      </w:pPr>
      <w:r>
        <w:rPr>
          <w:rFonts w:ascii="Times New Roman" w:hAnsi="Times New Roman"/>
          <w:sz w:val="24"/>
        </w:rPr>
        <w:t>- How does StoreDot plan to secure raw materials and manage supply chain risks, especially given global lithium and silicon supply constraints?</w:t>
      </w:r>
    </w:p>
    <w:p>
      <w:pPr>
        <w:spacing w:line="360" w:lineRule="auto"/>
        <w:jc w:val="both"/>
      </w:pPr>
      <w:r>
        <w:rPr>
          <w:rFonts w:ascii="Times New Roman" w:hAnsi="Times New Roman"/>
          <w:sz w:val="24"/>
        </w:rPr>
        <w:t>- **Market &amp; Competitive Landscape**</w:t>
      </w:r>
    </w:p>
    <w:p>
      <w:pPr>
        <w:spacing w:line="360" w:lineRule="auto"/>
        <w:jc w:val="both"/>
      </w:pPr>
      <w:r>
        <w:rPr>
          <w:rFonts w:ascii="Times New Roman" w:hAnsi="Times New Roman"/>
          <w:sz w:val="24"/>
        </w:rPr>
        <w:t>- How does StoreDot’s cost structure compare to incumbent Li-ion and emerging solid-state battery producers on a $/kWh basis?</w:t>
      </w:r>
    </w:p>
    <w:p>
      <w:pPr>
        <w:spacing w:line="360" w:lineRule="auto"/>
        <w:jc w:val="both"/>
      </w:pPr>
      <w:r>
        <w:rPr>
          <w:rFonts w:ascii="Times New Roman" w:hAnsi="Times New Roman"/>
          <w:sz w:val="24"/>
        </w:rPr>
        <w:t>- What are the main competitive threats from other fast-charging battery technologies or alternative energy storage solutions?</w:t>
      </w:r>
    </w:p>
    <w:p>
      <w:pPr>
        <w:spacing w:line="360" w:lineRule="auto"/>
        <w:jc w:val="both"/>
      </w:pPr>
      <w:r>
        <w:rPr>
          <w:rFonts w:ascii="Times New Roman" w:hAnsi="Times New Roman"/>
          <w:sz w:val="24"/>
        </w:rPr>
        <w:t>- How does StoreDot address charging infrastructure and connector standardization challenges beyond battery chemistry?</w:t>
      </w:r>
    </w:p>
    <w:p>
      <w:pPr>
        <w:spacing w:line="360" w:lineRule="auto"/>
        <w:jc w:val="both"/>
      </w:pPr>
      <w:r>
        <w:rPr>
          <w:rFonts w:ascii="Times New Roman" w:hAnsi="Times New Roman"/>
          <w:sz w:val="24"/>
        </w:rPr>
        <w:t>- **Financials &amp; Business Model**</w:t>
      </w:r>
    </w:p>
    <w:p>
      <w:pPr>
        <w:spacing w:line="360" w:lineRule="auto"/>
        <w:jc w:val="both"/>
      </w:pPr>
      <w:r>
        <w:rPr>
          <w:rFonts w:ascii="Times New Roman" w:hAnsi="Times New Roman"/>
          <w:sz w:val="24"/>
        </w:rPr>
        <w:t>- What is the current funding status, burn rate, and runway? What are the planned capital requirements to reach commercial scale?</w:t>
      </w:r>
    </w:p>
    <w:p>
      <w:pPr>
        <w:spacing w:line="360" w:lineRule="auto"/>
        <w:jc w:val="both"/>
      </w:pPr>
      <w:r>
        <w:rPr>
          <w:rFonts w:ascii="Times New Roman" w:hAnsi="Times New Roman"/>
          <w:sz w:val="24"/>
        </w:rPr>
        <w:t>- Clarify the licensing model: revenue share, exclusivity, and pricing strategy for battery manufacturers and OEMs.</w:t>
      </w:r>
    </w:p>
    <w:p>
      <w:pPr>
        <w:spacing w:line="360" w:lineRule="auto"/>
        <w:jc w:val="both"/>
      </w:pPr>
      <w:r>
        <w:rPr>
          <w:rFonts w:ascii="Times New Roman" w:hAnsi="Times New Roman"/>
          <w:sz w:val="24"/>
        </w:rPr>
        <w:t>- What are the projected unit economics and margins at scale?</w:t>
      </w:r>
    </w:p>
    <w:p>
      <w:pPr>
        <w:spacing w:line="360" w:lineRule="auto"/>
        <w:jc w:val="both"/>
      </w:pPr>
      <w:r>
        <w:rPr>
          <w:rFonts w:ascii="Times New Roman" w:hAnsi="Times New Roman"/>
          <w:sz w:val="24"/>
        </w:rPr>
        <w:t>- **Regulatory &amp; Safety**</w:t>
      </w:r>
    </w:p>
    <w:p>
      <w:pPr>
        <w:spacing w:line="360" w:lineRule="auto"/>
        <w:jc w:val="both"/>
      </w:pPr>
      <w:r>
        <w:rPr>
          <w:rFonts w:ascii="Times New Roman" w:hAnsi="Times New Roman"/>
          <w:sz w:val="24"/>
        </w:rPr>
        <w:t>- What safety certifications and regulatory approvals are required and what progress has been made?</w:t>
      </w:r>
    </w:p>
    <w:p>
      <w:pPr>
        <w:spacing w:line="360" w:lineRule="auto"/>
        <w:jc w:val="both"/>
      </w:pPr>
      <w:r>
        <w:rPr>
          <w:rFonts w:ascii="Times New Roman" w:hAnsi="Times New Roman"/>
          <w:sz w:val="24"/>
        </w:rPr>
        <w:t>- Any known safety incidents or failure modes during testing?</w:t>
      </w:r>
    </w:p>
    <w:p>
      <w:pPr>
        <w:spacing w:line="360" w:lineRule="auto"/>
        <w:jc w:val="both"/>
      </w:pPr>
      <w:r>
        <w:rPr>
          <w:rFonts w:ascii="Times New Roman" w:hAnsi="Times New Roman"/>
          <w:sz w:val="24"/>
        </w:rPr>
        <w:t>- **Team &amp; Execution Risk**</w:t>
      </w:r>
    </w:p>
    <w:p>
      <w:pPr>
        <w:spacing w:line="360" w:lineRule="auto"/>
        <w:jc w:val="both"/>
      </w:pPr>
      <w:r>
        <w:rPr>
          <w:rFonts w:ascii="Times New Roman" w:hAnsi="Times New Roman"/>
          <w:sz w:val="24"/>
        </w:rPr>
        <w:t>- More detail on the R&amp;D team size, capabilities, and turnover.</w:t>
      </w:r>
    </w:p>
    <w:p>
      <w:pPr>
        <w:spacing w:line="360" w:lineRule="auto"/>
        <w:jc w:val="both"/>
      </w:pPr>
      <w:r>
        <w:rPr>
          <w:rFonts w:ascii="Times New Roman" w:hAnsi="Times New Roman"/>
          <w:sz w:val="24"/>
        </w:rPr>
        <w:t>- What are the key hiring needs and potential gaps in scaling operations globally?</w:t>
      </w:r>
    </w:p>
    <w:p>
      <w:pPr>
        <w:spacing w:line="360" w:lineRule="auto"/>
        <w:jc w:val="both"/>
      </w:pPr>
      <w:r>
        <w:rPr>
          <w:rFonts w:ascii="Times New Roman" w:hAnsi="Times New Roman"/>
          <w:sz w:val="24"/>
        </w:rPr>
        <w:t>**Next Steps for Due Diligence:**</w:t>
      </w:r>
    </w:p>
    <w:p>
      <w:pPr>
        <w:spacing w:line="360" w:lineRule="auto"/>
        <w:jc w:val="both"/>
      </w:pPr>
      <w:r>
        <w:rPr>
          <w:rFonts w:ascii="Times New Roman" w:hAnsi="Times New Roman"/>
          <w:sz w:val="24"/>
        </w:rPr>
        <w:t>- Request detailed technical validation reports and IP portfolio analysis.</w:t>
      </w:r>
    </w:p>
    <w:p>
      <w:pPr>
        <w:spacing w:line="360" w:lineRule="auto"/>
        <w:jc w:val="both"/>
      </w:pPr>
      <w:r>
        <w:rPr>
          <w:rFonts w:ascii="Times New Roman" w:hAnsi="Times New Roman"/>
          <w:sz w:val="24"/>
        </w:rPr>
        <w:t>- Conduct reference calls with OEM partners and manufacturing collaborators.</w:t>
      </w:r>
    </w:p>
    <w:p>
      <w:pPr>
        <w:spacing w:line="360" w:lineRule="auto"/>
        <w:jc w:val="both"/>
      </w:pPr>
      <w:r>
        <w:rPr>
          <w:rFonts w:ascii="Times New Roman" w:hAnsi="Times New Roman"/>
          <w:sz w:val="24"/>
        </w:rPr>
        <w:t>- Obtain financial model and unit economics breakdown.</w:t>
      </w:r>
    </w:p>
    <w:p>
      <w:pPr>
        <w:spacing w:line="360" w:lineRule="auto"/>
        <w:jc w:val="both"/>
      </w:pPr>
      <w:r>
        <w:rPr>
          <w:rFonts w:ascii="Times New Roman" w:hAnsi="Times New Roman"/>
          <w:sz w:val="24"/>
        </w:rPr>
        <w:t>- Review supply chain and raw material sourcing strategy.</w:t>
      </w:r>
    </w:p>
    <w:p>
      <w:pPr>
        <w:spacing w:line="360" w:lineRule="auto"/>
        <w:jc w:val="both"/>
      </w:pPr>
      <w:r>
        <w:rPr>
          <w:rFonts w:ascii="Times New Roman" w:hAnsi="Times New Roman"/>
          <w:sz w:val="24"/>
        </w:rPr>
        <w:t>- Assess regulatory and safety compliance documentation.</w:t>
      </w:r>
    </w:p>
    <w:p>
      <w:pPr>
        <w:spacing w:line="360" w:lineRule="auto"/>
        <w:jc w:val="both"/>
      </w:pPr>
      <w:r>
        <w:rPr>
          <w:rFonts w:ascii="Times New Roman" w:hAnsi="Times New Roman"/>
          <w:sz w:val="24"/>
        </w:rPr>
        <w:t>- Schedule management deep-dive to clarify roadmap risks and go-to-market strategy.</w:t>
      </w:r>
    </w:p>
    <w:p>
      <w:pPr>
        <w:spacing w:line="360" w:lineRule="auto"/>
        <w:jc w:val="both"/>
      </w:pPr>
      <w:r>
        <w:rPr>
          <w:rFonts w:ascii="Times New Roman" w:hAnsi="Times New Roman"/>
          <w:sz w:val="24"/>
        </w:rPr>
        <w:t>If these areas are clarified satisfactorily, proceed to valuation and deal structuring discussions.</w:t>
      </w:r>
    </w:p>
    <w:p>
      <w:pPr>
        <w:spacing w:after="0"/>
      </w:pPr>
    </w:p>
    <w:p>
      <w:pPr>
        <w:spacing w:line="360" w:lineRule="auto" w:after="120"/>
        <w:jc w:val="both"/>
      </w:pPr>
      <w:r>
        <w:rPr>
          <w:rFonts w:ascii="Times New Roman" w:hAnsi="Times New Roman"/>
          <w:b/>
          <w:sz w:val="24"/>
        </w:rPr>
        <w:t>16. FIGURES &amp; VISUALS</w:t>
      </w:r>
    </w:p>
    <w:p>
      <w:pPr>
        <w:spacing w:after="0"/>
      </w:pPr>
    </w:p>
    <w:p>
      <w:pPr>
        <w:spacing w:line="360" w:lineRule="auto" w:after="120"/>
        <w:jc w:val="both"/>
      </w:pPr>
      <w:r>
        <w:rPr>
          <w:rFonts w:ascii="Times New Roman" w:hAnsi="Times New Roman"/>
          <w:b/>
          <w:sz w:val="24"/>
        </w:rPr>
        <w:t>17. APPENDIX: ADDITIONAL TABLES</w:t>
      </w:r>
    </w:p>
    <w:p>
      <w:pPr>
        <w:spacing w:after="0"/>
      </w:pPr>
    </w:p>
    <w:p>
      <w:pPr>
        <w:spacing w:line="360" w:lineRule="auto" w:after="120"/>
        <w:jc w:val="both"/>
      </w:pPr>
      <w:r>
        <w:rPr>
          <w:rFonts w:ascii="Times New Roman" w:hAnsi="Times New Roman"/>
          <w:b/>
          <w:sz w:val="24"/>
        </w:rPr>
        <w:t>18. DISCUSSION &amp; ANALYST COMMENTARY</w:t>
      </w:r>
    </w:p>
    <w:p>
      <w:pPr>
        <w:spacing w:line="360" w:lineRule="auto"/>
        <w:jc w:val="both"/>
      </w:pPr>
      <w:r>
        <w:rPr>
          <w:rFonts w:ascii="Times New Roman" w:hAnsi="Times New Roman"/>
          <w:sz w:val="24"/>
        </w:rPr>
        <w:t>**Analyst Commentary on StoreDot Investment Memo**</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Key Strengths</w:t>
      </w:r>
    </w:p>
    <w:p>
      <w:pPr>
        <w:spacing w:line="360" w:lineRule="auto"/>
        <w:jc w:val="both"/>
      </w:pPr>
      <w:r>
        <w:rPr>
          <w:rFonts w:ascii="Times New Roman" w:hAnsi="Times New Roman"/>
          <w:sz w:val="24"/>
        </w:rPr>
        <w:t>- **Technological Innovation:** StoreDot’s silicon-dominant anode lithium-ion battery enabling 100 miles of range in 5-10 minutes charging is a significant breakthrough addressing a core EV adoption barrier—charging time. This positions StoreDot as a potential market leader in extreme fast charging (XFC) technology.</w:t>
      </w:r>
    </w:p>
    <w:p>
      <w:pPr>
        <w:spacing w:line="360" w:lineRule="auto"/>
        <w:jc w:val="both"/>
      </w:pPr>
      <w:r>
        <w:rPr>
          <w:rFonts w:ascii="Times New Roman" w:hAnsi="Times New Roman"/>
          <w:sz w:val="24"/>
        </w:rPr>
        <w:t>- **Strong IP Position:** With 78 granted US patents and 22 pending, StoreDot has built a defensible moat around its technology, critical in a highly competitive battery sector.</w:t>
      </w:r>
    </w:p>
    <w:p>
      <w:pPr>
        <w:spacing w:line="360" w:lineRule="auto"/>
        <w:jc w:val="both"/>
      </w:pPr>
      <w:r>
        <w:rPr>
          <w:rFonts w:ascii="Times New Roman" w:hAnsi="Times New Roman"/>
          <w:sz w:val="24"/>
        </w:rPr>
        <w:t>- **OEM Partnerships:** Engagement with over 15 OEMs and manufacturing partners indicates strong industry validation and potential for rapid commercialization.</w:t>
      </w:r>
    </w:p>
    <w:p>
      <w:pPr>
        <w:spacing w:line="360" w:lineRule="auto"/>
        <w:jc w:val="both"/>
      </w:pPr>
      <w:r>
        <w:rPr>
          <w:rFonts w:ascii="Times New Roman" w:hAnsi="Times New Roman"/>
          <w:sz w:val="24"/>
        </w:rPr>
        <w:t>- **Scalable Business Model:** Licensing drop-in compatible technology that leverages existing lithium-ion manufacturing lines reduces capital intensity and accelerates adoption, enhancing scalability and lowering barriers to entry.</w:t>
      </w:r>
    </w:p>
    <w:p>
      <w:pPr>
        <w:spacing w:line="360" w:lineRule="auto"/>
        <w:jc w:val="both"/>
      </w:pPr>
      <w:r>
        <w:rPr>
          <w:rFonts w:ascii="Times New Roman" w:hAnsi="Times New Roman"/>
          <w:sz w:val="24"/>
        </w:rPr>
        <w:t>- **Experienced Founder:** Doron Myersdorf’s prior exits and sector experience increase confidence in execution capability.</w:t>
      </w:r>
    </w:p>
    <w:p>
      <w:pPr>
        <w:spacing w:line="360" w:lineRule="auto"/>
        <w:jc w:val="both"/>
      </w:pPr>
      <w:r>
        <w:rPr>
          <w:rFonts w:ascii="Times New Roman" w:hAnsi="Times New Roman"/>
          <w:sz w:val="24"/>
        </w:rPr>
        <w:t>- **ESG Alignment:** Reduced cobalt content and enabling broader EV adoption align with sustainability trends, appealing to ESG-conscious investors.</w:t>
      </w:r>
    </w:p>
    <w:p>
      <w:pPr>
        <w:spacing w:line="360" w:lineRule="auto"/>
        <w:jc w:val="both"/>
      </w:pPr>
      <w:r>
        <w:rPr>
          <w:rFonts w:ascii="Times New Roman" w:hAnsi="Times New Roman"/>
          <w:sz w:val="24"/>
        </w:rPr>
        <w:t>### Key Weaknesses</w:t>
      </w:r>
    </w:p>
    <w:p>
      <w:pPr>
        <w:spacing w:line="360" w:lineRule="auto"/>
        <w:jc w:val="both"/>
      </w:pPr>
      <w:r>
        <w:rPr>
          <w:rFonts w:ascii="Times New Roman" w:hAnsi="Times New Roman"/>
          <w:sz w:val="24"/>
        </w:rPr>
        <w:t>- **Technology Maturity:** The technology remains at the prototype stage with no publicly available independent validation of performance claims (charging speed, cycle life, safety). This represents a significant technical and commercial risk.</w:t>
      </w:r>
    </w:p>
    <w:p>
      <w:pPr>
        <w:spacing w:line="360" w:lineRule="auto"/>
        <w:jc w:val="both"/>
      </w:pPr>
      <w:r>
        <w:rPr>
          <w:rFonts w:ascii="Times New Roman" w:hAnsi="Times New Roman"/>
          <w:sz w:val="24"/>
        </w:rPr>
        <w:t>- **Financial Opacity:** Absence of disclosed financials, funding stage, burn rate, and runway limits assessment of financial health and capital requirements.</w:t>
      </w:r>
    </w:p>
    <w:p>
      <w:pPr>
        <w:spacing w:line="360" w:lineRule="auto"/>
        <w:jc w:val="both"/>
      </w:pPr>
      <w:r>
        <w:rPr>
          <w:rFonts w:ascii="Times New Roman" w:hAnsi="Times New Roman"/>
          <w:sz w:val="24"/>
        </w:rPr>
        <w:t>- **Market Size Metrics Ambiguity:** TAM/SAM/SOM figures ($120K/$30K/$6K) appear inconsistent or incorrectly scaled for a battery technology targeting the global EV market, raising questions about market sizing rigor.</w:t>
      </w:r>
    </w:p>
    <w:p>
      <w:pPr>
        <w:spacing w:line="360" w:lineRule="auto"/>
        <w:jc w:val="both"/>
      </w:pPr>
      <w:r>
        <w:rPr>
          <w:rFonts w:ascii="Times New Roman" w:hAnsi="Times New Roman"/>
          <w:sz w:val="24"/>
        </w:rPr>
        <w:t>- **Competitive Landscape Analysis:** The memo lacks detailed competitor strengths/weaknesses and StoreDot’s relative cost and performance positioning, limiting competitive risk assessment.</w:t>
      </w:r>
    </w:p>
    <w:p>
      <w:pPr>
        <w:spacing w:line="360" w:lineRule="auto"/>
        <w:jc w:val="both"/>
      </w:pPr>
      <w:r>
        <w:rPr>
          <w:rFonts w:ascii="Times New Roman" w:hAnsi="Times New Roman"/>
          <w:sz w:val="24"/>
        </w:rPr>
        <w:t>- **Unclear Partnership Details:** OEM and manufacturing partner identities, exclusivity, and commercial terms are undisclosed, obscuring revenue visibility and go-to-market risk.</w:t>
      </w:r>
    </w:p>
    <w:p>
      <w:pPr>
        <w:spacing w:line="360" w:lineRule="auto"/>
        <w:jc w:val="both"/>
      </w:pPr>
      <w:r>
        <w:rPr>
          <w:rFonts w:ascii="Times New Roman" w:hAnsi="Times New Roman"/>
          <w:sz w:val="24"/>
        </w:rPr>
        <w:t>- **Regulatory &amp; Safety Data Gaps:** No information on safety certifications, regulatory approvals, or testing incidents, critical for battery technologies given safety sensitivities.</w:t>
      </w:r>
    </w:p>
    <w:p>
      <w:pPr>
        <w:spacing w:line="360" w:lineRule="auto"/>
        <w:jc w:val="both"/>
      </w:pPr>
      <w:r>
        <w:rPr>
          <w:rFonts w:ascii="Times New Roman" w:hAnsi="Times New Roman"/>
          <w:sz w:val="24"/>
        </w:rPr>
        <w:t>### Opportunities</w:t>
      </w:r>
    </w:p>
    <w:p>
      <w:pPr>
        <w:spacing w:line="360" w:lineRule="auto"/>
        <w:jc w:val="both"/>
      </w:pPr>
      <w:r>
        <w:rPr>
          <w:rFonts w:ascii="Times New Roman" w:hAnsi="Times New Roman"/>
          <w:sz w:val="24"/>
        </w:rPr>
        <w:t>- **Mass EV Adoption Tailwinds:** With EV penetration expected to exceed 60% of new vehicle sales by 2030 in key markets, demand for fast-charging solutions is poised for exponential growth.</w:t>
      </w:r>
    </w:p>
    <w:p>
      <w:pPr>
        <w:spacing w:line="360" w:lineRule="auto"/>
        <w:jc w:val="both"/>
      </w:pPr>
      <w:r>
        <w:rPr>
          <w:rFonts w:ascii="Times New Roman" w:hAnsi="Times New Roman"/>
          <w:sz w:val="24"/>
        </w:rPr>
        <w:t>- **Licensing Model Scalability:** Licensing to multiple OEMs and battery manufacturers can generate recurring revenue streams with limited capital expenditure.</w:t>
      </w:r>
    </w:p>
    <w:p>
      <w:pPr>
        <w:spacing w:line="360" w:lineRule="auto"/>
        <w:jc w:val="both"/>
      </w:pPr>
      <w:r>
        <w:rPr>
          <w:rFonts w:ascii="Times New Roman" w:hAnsi="Times New Roman"/>
          <w:sz w:val="24"/>
        </w:rPr>
        <w:t>- **Roadmap Expansion:** Development of semi-solid and post-lithium chemistries for 2028 and 2032 could extend StoreDot’s technology leadership and open new market segments.</w:t>
      </w:r>
    </w:p>
    <w:p>
      <w:pPr>
        <w:spacing w:line="360" w:lineRule="auto"/>
        <w:jc w:val="both"/>
      </w:pPr>
      <w:r>
        <w:rPr>
          <w:rFonts w:ascii="Times New Roman" w:hAnsi="Times New Roman"/>
          <w:sz w:val="24"/>
        </w:rPr>
        <w:t>- **Potential Strategic Acquisitions:** StoreDot’s technology could attract acquisition interest from major EV manufacturers or battery producers seeking to leapfrog charging technology.</w:t>
      </w:r>
    </w:p>
    <w:p>
      <w:pPr>
        <w:spacing w:line="360" w:lineRule="auto"/>
        <w:jc w:val="both"/>
      </w:pPr>
      <w:r>
        <w:rPr>
          <w:rFonts w:ascii="Times New Roman" w:hAnsi="Times New Roman"/>
          <w:sz w:val="24"/>
        </w:rPr>
        <w:t>### Risks</w:t>
      </w:r>
    </w:p>
    <w:p>
      <w:pPr>
        <w:spacing w:line="360" w:lineRule="auto"/>
        <w:jc w:val="both"/>
      </w:pPr>
      <w:r>
        <w:rPr>
          <w:rFonts w:ascii="Times New Roman" w:hAnsi="Times New Roman"/>
          <w:sz w:val="24"/>
        </w:rPr>
        <w:t>- **Technical Execution Risk:** Achieving commercial-grade performance, safety, and longevity at scale by 2025 is challenging; failure to meet targets could delay or derail adoption.</w:t>
      </w:r>
    </w:p>
    <w:p>
      <w:pPr>
        <w:spacing w:line="360" w:lineRule="auto"/>
        <w:jc w:val="both"/>
      </w:pPr>
      <w:r>
        <w:rPr>
          <w:rFonts w:ascii="Times New Roman" w:hAnsi="Times New Roman"/>
          <w:sz w:val="24"/>
        </w:rPr>
        <w:t>- **Competitive Threats:** Solid-state batteries (QuantumScape, Solid Power) and other silicon-anode players (Sila Nanotechnologies) may commercialize competing technologies with superior cost or performance profiles.</w:t>
      </w:r>
    </w:p>
    <w:p>
      <w:pPr>
        <w:spacing w:line="360" w:lineRule="auto"/>
        <w:jc w:val="both"/>
      </w:pPr>
      <w:r>
        <w:rPr>
          <w:rFonts w:ascii="Times New Roman" w:hAnsi="Times New Roman"/>
          <w:sz w:val="24"/>
        </w:rPr>
        <w:t>- **Supply Chain Constraints:** Silicon and lithium supply volatility could impact production scalability and cost structure.</w:t>
      </w:r>
    </w:p>
    <w:p>
      <w:pPr>
        <w:spacing w:line="360" w:lineRule="auto"/>
        <w:jc w:val="both"/>
      </w:pPr>
      <w:r>
        <w:rPr>
          <w:rFonts w:ascii="Times New Roman" w:hAnsi="Times New Roman"/>
          <w:sz w:val="24"/>
        </w:rPr>
        <w:t>- **Regulatory Hurdles:** Battery safety certifications and compliance with evolving regulations could delay market entry.</w:t>
      </w:r>
    </w:p>
    <w:p>
      <w:pPr>
        <w:spacing w:line="360" w:lineRule="auto"/>
        <w:jc w:val="both"/>
      </w:pPr>
      <w:r>
        <w:rPr>
          <w:rFonts w:ascii="Times New Roman" w:hAnsi="Times New Roman"/>
          <w:sz w:val="24"/>
        </w:rPr>
        <w:t>- **Financial Risk:** Unknown funding status and capital needs pose risks of dilution or undercapitalization.</w:t>
      </w:r>
    </w:p>
    <w:p>
      <w:pPr>
        <w:spacing w:line="360" w:lineRule="auto"/>
        <w:jc w:val="both"/>
      </w:pPr>
      <w:r>
        <w:rPr>
          <w:rFonts w:ascii="Times New Roman" w:hAnsi="Times New Roman"/>
          <w:sz w:val="24"/>
        </w:rPr>
        <w:t>- **Market Adoption Risk:** OEMs may hesitate to adopt unproven technology without extensive validation, slowing licensing revenue ramp.</w:t>
      </w:r>
    </w:p>
    <w:p>
      <w:pPr>
        <w:spacing w:line="360" w:lineRule="auto"/>
        <w:jc w:val="both"/>
      </w:pPr>
      <w:r>
        <w:rPr>
          <w:rFonts w:ascii="Times New Roman" w:hAnsi="Times New Roman"/>
          <w:sz w:val="24"/>
        </w:rPr>
        <w:t>### Actionable Recommendations for Investors</w:t>
      </w:r>
    </w:p>
    <w:p>
      <w:pPr>
        <w:spacing w:line="360" w:lineRule="auto"/>
        <w:jc w:val="both"/>
      </w:pPr>
      <w:r>
        <w:rPr>
          <w:rFonts w:ascii="Times New Roman" w:hAnsi="Times New Roman"/>
          <w:sz w:val="24"/>
        </w:rPr>
        <w:t>1. **Prioritize Technical Due Diligence:** Insist on independent third-party validation of charging speed, cycle life, safety, and scalability claims before committing capital.</w:t>
      </w:r>
    </w:p>
    <w:p>
      <w:pPr>
        <w:spacing w:line="360" w:lineRule="auto"/>
        <w:jc w:val="both"/>
      </w:pPr>
      <w:r>
        <w:rPr>
          <w:rFonts w:ascii="Times New Roman" w:hAnsi="Times New Roman"/>
          <w:sz w:val="24"/>
        </w:rPr>
        <w:t>2. **Clarify Financial Position:** Obtain detailed financials, including current funding, burn rate, runway, and capital requirements to assess investment risk and valuation.</w:t>
      </w:r>
    </w:p>
    <w:p>
      <w:pPr>
        <w:spacing w:line="360" w:lineRule="auto"/>
        <w:jc w:val="both"/>
      </w:pPr>
      <w:r>
        <w:rPr>
          <w:rFonts w:ascii="Times New Roman" w:hAnsi="Times New Roman"/>
          <w:sz w:val="24"/>
        </w:rPr>
        <w:t>3. **Deep Dive into Partnerships:** Secure transparency on OEM/manufacturer partners, exclusivity terms, and signed agreements to validate commercial traction.</w:t>
      </w:r>
    </w:p>
    <w:p>
      <w:pPr>
        <w:spacing w:line="360" w:lineRule="auto"/>
        <w:jc w:val="both"/>
      </w:pPr>
      <w:r>
        <w:rPr>
          <w:rFonts w:ascii="Times New Roman" w:hAnsi="Times New Roman"/>
          <w:sz w:val="24"/>
        </w:rPr>
        <w:t>4. **Competitive Benchmarking:** Conduct a thorough comparative analysis of StoreDot’s cost, performance, and scalability versus incumbent and emerging battery technologies.</w:t>
      </w:r>
    </w:p>
    <w:p>
      <w:pPr>
        <w:spacing w:line="360" w:lineRule="auto"/>
        <w:jc w:val="both"/>
      </w:pPr>
      <w:r>
        <w:rPr>
          <w:rFonts w:ascii="Times New Roman" w:hAnsi="Times New Roman"/>
          <w:sz w:val="24"/>
        </w:rPr>
        <w:t>5. **Assess Regulatory Pathway:** Review progress on safety certifications and regulatory approvals to gauge time-to-market risk.</w:t>
      </w:r>
    </w:p>
    <w:p>
      <w:pPr>
        <w:spacing w:line="360" w:lineRule="auto"/>
        <w:jc w:val="both"/>
      </w:pPr>
      <w:r>
        <w:rPr>
          <w:rFonts w:ascii="Times New Roman" w:hAnsi="Times New Roman"/>
          <w:sz w:val="24"/>
        </w:rPr>
        <w:t>6. **Monitor Roadmap Milestones:** Track progress on semi-solid and post-lithium battery development to evaluate long-term technology leadership.</w:t>
      </w:r>
    </w:p>
    <w:p>
      <w:pPr>
        <w:spacing w:line="360" w:lineRule="auto"/>
        <w:jc w:val="both"/>
      </w:pPr>
      <w:r>
        <w:rPr>
          <w:rFonts w:ascii="Times New Roman" w:hAnsi="Times New Roman"/>
          <w:sz w:val="24"/>
        </w:rPr>
        <w:t>7. **Consider Staged Investment:** Structure investment in tranches tied to technical and commercial milestones to mitigate execution risk.</w:t>
      </w:r>
    </w:p>
    <w:p>
      <w:pPr>
        <w:spacing w:line="360" w:lineRule="auto"/>
        <w:jc w:val="both"/>
      </w:pPr>
      <w:r>
        <w:rPr>
          <w:rFonts w:ascii="Times New Roman" w:hAnsi="Times New Roman"/>
          <w:sz w:val="24"/>
        </w:rPr>
        <w:t>8. **Prepare for Exit Scenarios:** Engage potential strategic acquirers early to understand acquisition appetite and valuation benchmarks.</w:t>
      </w:r>
    </w:p>
    <w:p>
      <w:pPr>
        <w:spacing w:line="360" w:lineRule="auto"/>
        <w:jc w:val="both"/>
      </w:pPr>
      <w:r>
        <w:rPr>
          <w:rFonts w:ascii="Times New Roman" w:hAnsi="Times New Roman"/>
          <w:sz w:val="24"/>
        </w:rPr>
        <w:t>### Summary</w:t>
      </w:r>
    </w:p>
    <w:p>
      <w:pPr>
        <w:spacing w:line="360" w:lineRule="auto"/>
        <w:jc w:val="both"/>
      </w:pPr>
      <w:r>
        <w:rPr>
          <w:rFonts w:ascii="Times New Roman" w:hAnsi="Times New Roman"/>
          <w:sz w:val="24"/>
        </w:rPr>
        <w:t>StoreDot presents a compelling technological proposition addressing a critical EV adoption barrier with a scalable licensing model and strong IP. However, significant uncertainties remain around technology validation, financial health, competitive positioning, and regulatory compliance. Investors should adopt a cautious, milestone-driven approach, emphasizing rigorous due diligence and staged capital deployment to balance upside potential against execution risks.</w:t>
      </w:r>
    </w:p>
    <w:p>
      <w:pPr>
        <w:spacing w:line="360" w:lineRule="auto"/>
        <w:jc w:val="both"/>
      </w:pPr>
      <w:r>
        <w:rPr>
          <w:rFonts w:ascii="Times New Roman" w:hAnsi="Times New Roman"/>
          <w:sz w:val="24"/>
        </w:rPr>
        <w:t>Generated by VC Analysis System on July 13,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sectPr w:rsidR="00C802F8"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774B8" w14:textId="77777777" w:rsidR="00B14964" w:rsidRDefault="00B14964">
      <w:r>
        <w:separator/>
      </w:r>
    </w:p>
  </w:endnote>
  <w:endnote w:type="continuationSeparator" w:id="0">
    <w:p w14:paraId="0B7A12B7" w14:textId="77777777" w:rsidR="00B14964" w:rsidRDefault="00B14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F7A99" w14:textId="77777777" w:rsidR="00B14964" w:rsidRDefault="00B14964">
      <w:r>
        <w:separator/>
      </w:r>
    </w:p>
  </w:footnote>
  <w:footnote w:type="continuationSeparator" w:id="0">
    <w:p w14:paraId="0AA846B5" w14:textId="77777777" w:rsidR="00B14964" w:rsidRDefault="00B14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41365"/>
    <w:rsid w:val="00162558"/>
    <w:rsid w:val="0016357A"/>
    <w:rsid w:val="00183B90"/>
    <w:rsid w:val="001A3A2E"/>
    <w:rsid w:val="001B1E7A"/>
    <w:rsid w:val="001D6CB3"/>
    <w:rsid w:val="001E0BED"/>
    <w:rsid w:val="001E0C9C"/>
    <w:rsid w:val="001E39C3"/>
    <w:rsid w:val="00232F13"/>
    <w:rsid w:val="00234EF1"/>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96C35"/>
    <w:rsid w:val="003B13D1"/>
    <w:rsid w:val="003B53C2"/>
    <w:rsid w:val="003C7B21"/>
    <w:rsid w:val="003E3956"/>
    <w:rsid w:val="00413D1E"/>
    <w:rsid w:val="00436826"/>
    <w:rsid w:val="00440DA2"/>
    <w:rsid w:val="00447CC9"/>
    <w:rsid w:val="00451967"/>
    <w:rsid w:val="00464004"/>
    <w:rsid w:val="004757D9"/>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76060"/>
    <w:rsid w:val="008839E2"/>
    <w:rsid w:val="008A2E35"/>
    <w:rsid w:val="008A47F1"/>
    <w:rsid w:val="008D3621"/>
    <w:rsid w:val="008D5E24"/>
    <w:rsid w:val="008D73E1"/>
    <w:rsid w:val="008F250D"/>
    <w:rsid w:val="008F671B"/>
    <w:rsid w:val="00945232"/>
    <w:rsid w:val="009541BA"/>
    <w:rsid w:val="00982DE1"/>
    <w:rsid w:val="00990D45"/>
    <w:rsid w:val="0099453E"/>
    <w:rsid w:val="0099589D"/>
    <w:rsid w:val="009A3A09"/>
    <w:rsid w:val="009B2F00"/>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D23B43"/>
    <w:rsid w:val="00D24564"/>
    <w:rsid w:val="00D26639"/>
    <w:rsid w:val="00D271A0"/>
    <w:rsid w:val="00D41530"/>
    <w:rsid w:val="00D423BB"/>
    <w:rsid w:val="00D608EF"/>
    <w:rsid w:val="00D958FD"/>
    <w:rsid w:val="00DB3B09"/>
    <w:rsid w:val="00DB5DB9"/>
    <w:rsid w:val="00DC3BC2"/>
    <w:rsid w:val="00DD5753"/>
    <w:rsid w:val="00E03B14"/>
    <w:rsid w:val="00E1228B"/>
    <w:rsid w:val="00E13F5E"/>
    <w:rsid w:val="00E236FD"/>
    <w:rsid w:val="00E43305"/>
    <w:rsid w:val="00E47931"/>
    <w:rsid w:val="00E6500E"/>
    <w:rsid w:val="00E81B94"/>
    <w:rsid w:val="00E832E8"/>
    <w:rsid w:val="00E8429D"/>
    <w:rsid w:val="00EB4BA7"/>
    <w:rsid w:val="00F15DA4"/>
    <w:rsid w:val="00F25176"/>
    <w:rsid w:val="00F52826"/>
    <w:rsid w:val="00F5288C"/>
    <w:rsid w:val="00F71F85"/>
    <w:rsid w:val="00F87D6F"/>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10</Words>
  <Characters>62</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71</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17</cp:revision>
  <cp:lastPrinted>2012-08-22T12:07:00Z</cp:lastPrinted>
  <dcterms:created xsi:type="dcterms:W3CDTF">2025-07-11T11:27:00Z</dcterms:created>
  <dcterms:modified xsi:type="dcterms:W3CDTF">2025-07-13T11:50:00Z</dcterms:modified>
</cp:coreProperties>
</file>