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20, 2025 at 07:20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before="240" w:line="360" w:lineRule="auto" w:after="120"/>
        <w:ind w:firstLine="0"/>
        <w:jc w:val="both"/>
      </w:pPr>
      <w:r>
        <w:rPr>
          <w:rFonts w:ascii="Times New Roman" w:hAnsi="Times New Roman"/>
          <w:b/>
          <w:sz w:val="24"/>
        </w:rPr>
        <w:t>2. COMPANY OVERVIEW</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before="240" w:line="360" w:lineRule="auto" w:after="120"/>
        <w:ind w:firstLine="0"/>
        <w:jc w:val="both"/>
      </w:pPr>
      <w:r>
        <w:rPr>
          <w:rFonts w:ascii="Times New Roman" w:hAnsi="Times New Roman"/>
          <w:b/>
          <w:sz w:val="24"/>
        </w:rPr>
        <w:t>5. PRODUCT/SERVICE DESCRIPTION</w:t>
      </w:r>
    </w:p>
    <w:p>
      <w:pPr>
        <w:spacing w:before="240" w:line="360" w:lineRule="auto" w:after="120"/>
        <w:ind w:firstLine="0"/>
        <w:jc w:val="both"/>
      </w:pPr>
      <w:r>
        <w:rPr>
          <w:rFonts w:ascii="Times New Roman" w:hAnsi="Times New Roman"/>
          <w:b/>
          <w:sz w:val="24"/>
        </w:rPr>
        <w:t>6. MARKET SIZE &amp; ANALYSIS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 Amprius Technologies</w:t>
      </w:r>
    </w:p>
    <w:p>
      <w:pPr>
        <w:spacing w:before="240" w:line="360" w:lineRule="auto" w:after="120"/>
        <w:ind w:firstLine="0"/>
        <w:jc w:val="both"/>
      </w:pPr>
      <w:r>
        <w:rPr>
          <w:rFonts w:ascii="Times New Roman" w:hAnsi="Times New Roman"/>
          <w:b/>
          <w:sz w:val="24"/>
        </w:rPr>
        <w:t>8. BUSINESS MODEL</w:t>
      </w:r>
    </w:p>
    <w:p>
      <w:pPr>
        <w:ind w:firstLine="0"/>
        <w:jc w:val="center"/>
      </w:pPr>
      <w:r>
        <w:drawing>
          <wp:inline xmlns:a="http://schemas.openxmlformats.org/drawingml/2006/main" xmlns:pic="http://schemas.openxmlformats.org/drawingml/2006/picture">
            <wp:extent cx="4064000" cy="122219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222199"/>
                    </a:xfrm>
                    <a:prstGeom prst="rect"/>
                  </pic:spPr>
                </pic:pic>
              </a:graphicData>
            </a:graphic>
          </wp:inline>
        </w:drawing>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Currently in ASample testing phase with 15+ global automotive OEMs (Europe, Asia, US). Several partners have progressed to BSample programs for customized cell form factors. Aims for commercial deployment in 2025, leveraging existing Liion manufacturing infrastructure to scale production..</w:t>
      </w:r>
    </w:p>
    <w:p>
      <w:pPr>
        <w:spacing w:line="360" w:lineRule="auto"/>
        <w:ind w:firstLine="0"/>
        <w:jc w:val="both"/>
      </w:pPr>
      <w:r>
        <w:rPr>
          <w:rFonts w:ascii="Times New Roman" w:hAnsi="Times New Roman"/>
          <w:sz w:val="24"/>
        </w:rPr>
        <w:t>• Moat: The AI/ML integration and their proprietary nanoparticle synthesis and organic conductive matrix seem to create substantial IP barriers. The compatibility with existing manufacturing infrastructure also strengthens their commercial position..</w:t>
      </w:r>
    </w:p>
    <w:p>
      <w:pPr>
        <w:spacing w:line="360" w:lineRule="auto"/>
        <w:ind w:firstLine="0"/>
        <w:jc w:val="both"/>
      </w:pPr>
      <w:r>
        <w:rPr>
          <w:rFonts w:ascii="Times New Roman" w:hAnsi="Times New Roman"/>
          <w:sz w:val="24"/>
        </w:rPr>
        <w:t>• Tech Stack: Core technical approach  silicondominant anodes with over 40% silicon content, highcapacity NMC cathodes, and a holistic design integrating chemistry with system engineering..</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CEO and Cofounder of StoreDot, a company pioneering extreme fastcharging battery technology for electric vehicles. His leadership has been instrumental since the company's inception in 2012. Prior to founding StoreDot, Myersdorf was a Senior Director at SanDisk's SSD Business Unit, where he successfully established and managed the division in Israel, achieving over $100M in revenue in under three years. His experience also includes serving as VP Flash and Operations at msystems, where he managed strategic sourcing and contributed to annual revenues exceeding $1.5B. Myersdorf's entrepreneurial spirit is further evidenced by his roles as founder and CEO of InnerPresence and cofounder and VP of business development at Siftology. His academic credentials include a DSc in R&amp;D Management, an MSc in Information Systems, and a BSc in Industrial Engineering Management, all from the Technion.</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serves as the Chief Financial Officer at StoreDot, bringing extensive experience in financial and operational management within the global technology sector. Previously, he was CFO at Broadcom Israel, where he oversaw numerous mergers and acquisitions, and served as CFO EMEA at Convergys for a decade, managing operations across over 30 countries. Earlier in his career, Halberstam was VP of Finance at Radview Software, leading the company from SeedStage to a NASDAQ IPO. He holds bachelor's degrees in economics and accounting from BarIlan University.</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serves as Chairman of StoreDot and brings extensive automotive leadership experience, having been Group CEO of Tata Motors (including Jaguar Land Rover) and President and CEO of General Motors Europe. His career includes senior roles at BMW and board positions at companies such as Vesuvius plc and Babcock International Group PLC.</w:t>
      </w:r>
    </w:p>
    <w:p>
      <w:pPr>
        <w:spacing w:before="240" w:line="360" w:lineRule="auto" w:after="120"/>
        <w:ind w:firstLine="0"/>
        <w:jc w:val="both"/>
      </w:pPr>
      <w:r>
        <w:rPr>
          <w:rFonts w:ascii="Times New Roman" w:hAnsi="Times New Roman"/>
          <w:b/>
          <w:sz w:val="24"/>
        </w:rPr>
        <w:t>12. ESG CONSIDERATIONS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 Maturity: StoreDot's technology is currently in the ASample testing phase, which indicates that it is still in the early stages of development. There is a risk that the technology may not meet performance expectations or face unforeseen technical challenges as it progresses to BSample and eventually commercial deployment.</w:t>
      </w:r>
    </w:p>
    <w:p>
      <w:pPr>
        <w:spacing w:line="360" w:lineRule="auto"/>
        <w:ind w:firstLine="0"/>
        <w:jc w:val="both"/>
      </w:pPr>
      <w:r>
        <w:rPr>
          <w:rFonts w:ascii="Times New Roman" w:hAnsi="Times New Roman"/>
          <w:sz w:val="24"/>
        </w:rPr>
        <w:t>• Market Competition: The battery technology sector is highly competitive, with companies like QuantumScape, Sila Nanotechnologies, and Amprius Technologies developing advanced battery solutions. These competitors are focusing on different technological innovations, such as solidstate batteries and siliconbased anodes, which could potentially offer superior performance or faster market readiness than StoreDot's approach.</w:t>
      </w:r>
    </w:p>
    <w:p>
      <w:pPr>
        <w:spacing w:line="360" w:lineRule="auto"/>
        <w:ind w:firstLine="0"/>
        <w:jc w:val="both"/>
      </w:pPr>
      <w:r>
        <w:rPr>
          <w:rFonts w:ascii="Times New Roman" w:hAnsi="Times New Roman"/>
          <w:sz w:val="24"/>
        </w:rPr>
        <w:t>• Regulatory Risks: As StoreDot aims for commercial deployment by 2025, it must navigate a complex regulatory landscape across multiple regions, including Europe, Asia, and the US. Any changes in regulations or delays in obtaining necessary approvals could impact the company's ability to scale production and enter the market as planned.</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What are the key technical milestones that need to be achieved during the ASample and BSample testing phases to ensure readiness for commercial deployment by 2025?</w:t>
      </w:r>
    </w:p>
    <w:p>
      <w:pPr>
        <w:spacing w:line="360" w:lineRule="auto"/>
        <w:ind w:firstLine="0"/>
        <w:jc w:val="both"/>
      </w:pPr>
      <w:r>
        <w:rPr>
          <w:rFonts w:ascii="Times New Roman" w:hAnsi="Times New Roman"/>
          <w:sz w:val="24"/>
        </w:rPr>
        <w:t>• How does StoreDot plan to protect its intellectual property, particularly in relation to its unique technology and processes, against competitors like QuantumScape and Sila Nanotechnologies?</w:t>
      </w:r>
    </w:p>
    <w:p>
      <w:pPr>
        <w:spacing w:line="360" w:lineRule="auto"/>
        <w:ind w:firstLine="0"/>
        <w:jc w:val="both"/>
      </w:pPr>
      <w:r>
        <w:rPr>
          <w:rFonts w:ascii="Times New Roman" w:hAnsi="Times New Roman"/>
          <w:sz w:val="24"/>
        </w:rPr>
        <w:t>• Can we get more detailed information on the specific automotive OEMs involved in the ASample and BSample testing phases, and what their feedback has been so far?</w:t>
      </w:r>
    </w:p>
    <w:p>
      <w:pPr>
        <w:spacing w:line="360" w:lineRule="auto"/>
        <w:ind w:firstLine="0"/>
        <w:jc w:val="both"/>
      </w:pPr>
      <w:r>
        <w:rPr>
          <w:rFonts w:ascii="Times New Roman" w:hAnsi="Times New Roman"/>
          <w:sz w:val="24"/>
        </w:rPr>
        <w:t>• What are the next steps in scaling production using existing Liion manufacturing infrastructure, and how will StoreDot ensure quality and consistency at scale?</w:t>
      </w:r>
    </w:p>
    <w:p>
      <w:pPr>
        <w:spacing w:line="360" w:lineRule="auto"/>
        <w:ind w:firstLine="0"/>
        <w:jc w:val="both"/>
      </w:pPr>
      <w:r>
        <w:rPr>
          <w:rFonts w:ascii="Times New Roman" w:hAnsi="Times New Roman"/>
          <w:sz w:val="24"/>
        </w:rPr>
        <w:t>• How does StoreDot plan to differentiate itself from competitors like QuantumScape, Sila Nanotechnologies, and Amprius Technologies in terms of technology and market positioning?</w:t>
      </w:r>
    </w:p>
    <w:p>
      <w:pPr>
        <w:spacing w:line="360" w:lineRule="auto"/>
        <w:ind w:firstLine="0"/>
        <w:jc w:val="both"/>
      </w:pPr>
      <w:r>
        <w:rPr>
          <w:rFonts w:ascii="Times New Roman" w:hAnsi="Times New Roman"/>
          <w:sz w:val="24"/>
        </w:rPr>
        <w:t>• What are the potential barriers to entry for new competitors in the battery technology space, and how is StoreDot positioned to overcome these challenges?</w:t>
      </w:r>
    </w:p>
    <w:p>
      <w:pPr>
        <w:spacing w:line="360" w:lineRule="auto"/>
        <w:ind w:firstLine="0"/>
        <w:jc w:val="both"/>
      </w:pPr>
      <w:r>
        <w:rPr>
          <w:rFonts w:ascii="Times New Roman" w:hAnsi="Times New Roman"/>
          <w:sz w:val="24"/>
        </w:rPr>
        <w:t>• What are the key regulatory hurdles StoreDot anticipates in the leadup to commercial deployment, and what strategies are in place to address these challenges?</w:t>
      </w:r>
    </w:p>
    <w:p>
      <w:pPr>
        <w:spacing w:line="360" w:lineRule="auto"/>
        <w:ind w:firstLine="0"/>
        <w:jc w:val="both"/>
      </w:pPr>
      <w:r>
        <w:rPr>
          <w:rFonts w:ascii="Times New Roman" w:hAnsi="Times New Roman"/>
          <w:sz w:val="24"/>
        </w:rPr>
        <w:t>• How does StoreDot plan to navigate the regulatory landscapes in different regions (Europe, Asia, US) where it plans to deploy its technology?</w:t>
      </w:r>
    </w:p>
    <w:p>
      <w:pPr>
        <w:spacing w:line="360" w:lineRule="auto"/>
        <w:ind w:firstLine="0"/>
        <w:jc w:val="both"/>
      </w:pPr>
      <w:r>
        <w:rPr>
          <w:rFonts w:ascii="Times New Roman" w:hAnsi="Times New Roman"/>
          <w:sz w:val="24"/>
        </w:rPr>
        <w:t>• Schedule a followup meeting with StoreDot's technical team to discuss the progress and challenges in the ASample and BSample testing phases.</w:t>
      </w:r>
    </w:p>
    <w:p>
      <w:pPr>
        <w:spacing w:line="360" w:lineRule="auto"/>
        <w:ind w:firstLine="0"/>
        <w:jc w:val="both"/>
      </w:pPr>
      <w:r>
        <w:rPr>
          <w:rFonts w:ascii="Times New Roman" w:hAnsi="Times New Roman"/>
          <w:sz w:val="24"/>
        </w:rPr>
        <w:t>• Arrange a call with the business development team to understand the status and future plans for OEM partnerships and scaling production.</w:t>
      </w:r>
    </w:p>
    <w:p>
      <w:pPr>
        <w:spacing w:line="360" w:lineRule="auto"/>
        <w:ind w:firstLine="0"/>
        <w:jc w:val="both"/>
      </w:pPr>
      <w:r>
        <w:rPr>
          <w:rFonts w:ascii="Times New Roman" w:hAnsi="Times New Roman"/>
          <w:sz w:val="24"/>
        </w:rPr>
        <w:t>• Conduct a competitive analysis workshop to evaluate StoreDot's market positioning relative to its main competitors and identify potential strategic opportunities.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StoreDot’s silicondominant anode with &gt;40% silicon content combined with highcapacity NMC cathodes is a compelling technical differentiator.</w:t>
      </w:r>
    </w:p>
    <w:p>
      <w:pPr>
        <w:spacing w:line="360" w:lineRule="auto"/>
        <w:ind w:firstLine="0"/>
        <w:jc w:val="both"/>
      </w:pPr>
      <w:r>
        <w:rPr>
          <w:rFonts w:ascii="Times New Roman" w:hAnsi="Times New Roman"/>
          <w:sz w:val="24"/>
        </w:rPr>
        <w:t>• Integration of AI/ML for nanoparticle synthesis and organic conductive matrix development creates significant IP barriers, supported by 78 granted US patents.</w:t>
      </w:r>
    </w:p>
    <w:p>
      <w:pPr>
        <w:spacing w:line="360" w:lineRule="auto"/>
        <w:ind w:firstLine="0"/>
        <w:jc w:val="both"/>
      </w:pPr>
      <w:r>
        <w:rPr>
          <w:rFonts w:ascii="Times New Roman" w:hAnsi="Times New Roman"/>
          <w:sz w:val="24"/>
        </w:rPr>
        <w:t>• Compatibility with existing Liion manufacturing infrastructure reduces capital expenditure barriers for OEMs and battery manufacturers, accelerating adoption potential.</w:t>
      </w:r>
    </w:p>
    <w:p>
      <w:pPr>
        <w:spacing w:line="360" w:lineRule="auto"/>
        <w:ind w:firstLine="0"/>
        <w:jc w:val="both"/>
      </w:pPr>
      <w:r>
        <w:rPr>
          <w:rFonts w:ascii="Times New Roman" w:hAnsi="Times New Roman"/>
          <w:sz w:val="24"/>
        </w:rPr>
        <w:t>• The "100in5" technology directly addresses a critical pain point in EV adoption: charging time and battery degradation.</w:t>
      </w:r>
    </w:p>
    <w:p>
      <w:pPr>
        <w:spacing w:line="360" w:lineRule="auto"/>
        <w:ind w:firstLine="0"/>
        <w:jc w:val="both"/>
      </w:pPr>
      <w:r>
        <w:rPr>
          <w:rFonts w:ascii="Times New Roman" w:hAnsi="Times New Roman"/>
          <w:sz w:val="24"/>
        </w:rPr>
        <w:t>• Targeting commercial readiness by 2025 aligns well with the accelerating EV market growth and OEM electrification roadmaps.</w:t>
      </w:r>
    </w:p>
    <w:p>
      <w:pPr>
        <w:spacing w:line="360" w:lineRule="auto"/>
        <w:ind w:firstLine="0"/>
        <w:jc w:val="both"/>
      </w:pPr>
      <w:r>
        <w:rPr>
          <w:rFonts w:ascii="Times New Roman" w:hAnsi="Times New Roman"/>
          <w:sz w:val="24"/>
        </w:rPr>
        <w:t>• Over 15 global OEMs and battery manufacturers engaged in A and BSample testing indicates strong industry validation and interest.</w:t>
      </w:r>
    </w:p>
    <w:p>
      <w:pPr>
        <w:spacing w:line="360" w:lineRule="auto"/>
        <w:ind w:firstLine="0"/>
        <w:jc w:val="both"/>
      </w:pPr>
      <w:r>
        <w:rPr>
          <w:rFonts w:ascii="Times New Roman" w:hAnsi="Times New Roman"/>
          <w:sz w:val="24"/>
        </w:rPr>
        <w:t>• Founder Doron Myersdorf brings deep tech and scaling experience, particularly in flash memory and storage sectors.</w:t>
      </w:r>
    </w:p>
    <w:p>
      <w:pPr>
        <w:spacing w:line="360" w:lineRule="auto"/>
        <w:ind w:firstLine="0"/>
        <w:jc w:val="both"/>
      </w:pPr>
      <w:r>
        <w:rPr>
          <w:rFonts w:ascii="Times New Roman" w:hAnsi="Times New Roman"/>
          <w:sz w:val="24"/>
        </w:rPr>
        <w:t>• CFO Meir Halberstam’s background in financial operations and IPOs is valuable for future fundraising and potential exit strategies.</w:t>
      </w:r>
    </w:p>
    <w:p>
      <w:pPr>
        <w:spacing w:line="360" w:lineRule="auto"/>
        <w:ind w:firstLine="0"/>
        <w:jc w:val="both"/>
      </w:pPr>
      <w:r>
        <w:rPr>
          <w:rFonts w:ascii="Times New Roman" w:hAnsi="Times New Roman"/>
          <w:sz w:val="24"/>
        </w:rPr>
        <w:t>• Chairman CarlPeter Forster’s automotive industry pedigree provides strategic guidance and access to key OEM relationships.</w:t>
      </w:r>
    </w:p>
    <w:p>
      <w:pPr>
        <w:spacing w:line="360" w:lineRule="auto"/>
        <w:ind w:firstLine="0"/>
        <w:jc w:val="both"/>
      </w:pPr>
      <w:r>
        <w:rPr>
          <w:rFonts w:ascii="Times New Roman" w:hAnsi="Times New Roman"/>
          <w:sz w:val="24"/>
        </w:rPr>
        <w:t>• Licensing and partnership model reduces capital intensity and operational risk for StoreDot, while enabling rapid scale via existing manufacturing lines.</w:t>
      </w:r>
    </w:p>
    <w:p>
      <w:pPr>
        <w:spacing w:line="360" w:lineRule="auto"/>
        <w:ind w:firstLine="0"/>
        <w:jc w:val="both"/>
      </w:pPr>
      <w:r>
        <w:rPr>
          <w:rFonts w:ascii="Times New Roman" w:hAnsi="Times New Roman"/>
          <w:sz w:val="24"/>
        </w:rPr>
        <w:t>• Clear roadmap extending to semisolid and postlithium batteries by 2032 suggests longterm innovation pipeline and relevance.</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Currently in ASample testing phase; technology has yet to prove consistent performance, safety, and longevity at scale.</w:t>
      </w:r>
    </w:p>
    <w:p>
      <w:pPr>
        <w:spacing w:line="360" w:lineRule="auto"/>
        <w:ind w:firstLine="0"/>
        <w:jc w:val="both"/>
      </w:pPr>
      <w:r>
        <w:rPr>
          <w:rFonts w:ascii="Times New Roman" w:hAnsi="Times New Roman"/>
          <w:sz w:val="24"/>
        </w:rPr>
        <w:t>• Lack of independent thirdparty validation of performance claims (charging speed, cycle life, degradation) is a concern.</w:t>
      </w:r>
    </w:p>
    <w:p>
      <w:pPr>
        <w:spacing w:line="360" w:lineRule="auto"/>
        <w:ind w:firstLine="0"/>
        <w:jc w:val="both"/>
      </w:pPr>
      <w:r>
        <w:rPr>
          <w:rFonts w:ascii="Times New Roman" w:hAnsi="Times New Roman"/>
          <w:sz w:val="24"/>
        </w:rPr>
        <w:t>• No disclosed data on manufacturing yield, cost per kWh, or realworld durability metrics.</w:t>
      </w:r>
    </w:p>
    <w:p>
      <w:pPr>
        <w:spacing w:line="360" w:lineRule="auto"/>
        <w:ind w:firstLine="0"/>
        <w:jc w:val="both"/>
      </w:pPr>
      <w:r>
        <w:rPr>
          <w:rFonts w:ascii="Times New Roman" w:hAnsi="Times New Roman"/>
          <w:sz w:val="24"/>
        </w:rPr>
        <w:t>• No public financial data or funding stage disclosed, limiting assessment of runway, burn rate, and capital adequacy to reach commercialization.</w:t>
      </w:r>
    </w:p>
    <w:p>
      <w:pPr>
        <w:spacing w:line="360" w:lineRule="auto"/>
        <w:ind w:firstLine="0"/>
        <w:jc w:val="both"/>
      </w:pPr>
      <w:r>
        <w:rPr>
          <w:rFonts w:ascii="Times New Roman" w:hAnsi="Times New Roman"/>
          <w:sz w:val="24"/>
        </w:rPr>
        <w:t>• Unclear revenue traction or licensing income to date; financial sustainability and growth trajectory unknown.</w:t>
      </w:r>
    </w:p>
    <w:p>
      <w:pPr>
        <w:spacing w:line="360" w:lineRule="auto"/>
        <w:ind w:firstLine="0"/>
        <w:jc w:val="both"/>
      </w:pPr>
      <w:r>
        <w:rPr>
          <w:rFonts w:ascii="Times New Roman" w:hAnsi="Times New Roman"/>
          <w:sz w:val="24"/>
        </w:rPr>
        <w:t>• Absence of TAM, SAM, SOM analysis or detailed market penetration metrics weakens investment thesis from a market opportunity perspective.</w:t>
      </w:r>
    </w:p>
    <w:p>
      <w:pPr>
        <w:spacing w:line="360" w:lineRule="auto"/>
        <w:ind w:firstLine="0"/>
        <w:jc w:val="both"/>
      </w:pPr>
      <w:r>
        <w:rPr>
          <w:rFonts w:ascii="Times New Roman" w:hAnsi="Times New Roman"/>
          <w:sz w:val="24"/>
        </w:rPr>
        <w:t>• Limited clarity on pricing strategy, licensing terms, and competitive positioning relative to incumbent battery suppliers.</w:t>
      </w:r>
    </w:p>
    <w:p>
      <w:pPr>
        <w:spacing w:line="360" w:lineRule="auto"/>
        <w:ind w:firstLine="0"/>
        <w:jc w:val="both"/>
      </w:pPr>
      <w:r>
        <w:rPr>
          <w:rFonts w:ascii="Times New Roman" w:hAnsi="Times New Roman"/>
          <w:sz w:val="24"/>
        </w:rPr>
        <w:t>• No detailed discussion on regulatory approvals, safety certifications, or compliance strategies across key markets (US, EU, Asia).</w:t>
      </w:r>
    </w:p>
    <w:p>
      <w:pPr>
        <w:spacing w:line="360" w:lineRule="auto"/>
        <w:ind w:firstLine="0"/>
        <w:jc w:val="both"/>
      </w:pPr>
      <w:r>
        <w:rPr>
          <w:rFonts w:ascii="Times New Roman" w:hAnsi="Times New Roman"/>
          <w:sz w:val="24"/>
        </w:rPr>
        <w:t>• Battery safety is paramount; lack of explicit safety testing data or risk mitigation plans is a red flag.</w:t>
      </w:r>
    </w:p>
    <w:p>
      <w:pPr>
        <w:spacing w:before="240" w:line="360" w:lineRule="auto" w:after="120"/>
        <w:ind w:firstLine="0"/>
        <w:jc w:val="both"/>
      </w:pPr>
      <w:r>
        <w:rPr>
          <w:rFonts w:ascii="Times New Roman" w:hAnsi="Times New Roman"/>
          <w:b/>
          <w:sz w:val="24"/>
        </w:rPr>
        <w:t>Opportunities</w:t>
      </w:r>
    </w:p>
    <w:p>
      <w:pPr>
        <w:spacing w:before="240" w:line="360" w:lineRule="auto" w:after="120"/>
        <w:ind w:firstLine="0"/>
        <w:jc w:val="both"/>
      </w:pPr>
      <w:r>
        <w:rPr>
          <w:rFonts w:ascii="Times New Roman" w:hAnsi="Times New Roman"/>
          <w:b/>
          <w:sz w:val="24"/>
        </w:rPr>
        <w:t>1. EV Market Growth &amp; Charging Infrastructure Gap</w:t>
      </w:r>
    </w:p>
    <w:p>
      <w:pPr>
        <w:spacing w:line="360" w:lineRule="auto"/>
        <w:ind w:firstLine="0"/>
        <w:jc w:val="both"/>
      </w:pPr>
      <w:r>
        <w:rPr>
          <w:rFonts w:ascii="Times New Roman" w:hAnsi="Times New Roman"/>
          <w:sz w:val="24"/>
        </w:rPr>
        <w:t>• As EV adoption accelerates globally, fast charging remains a bottleneck; StoreDot’s technology could become a critical enabler for massmarket EV acceptance.</w:t>
      </w:r>
    </w:p>
    <w:p>
      <w:pPr>
        <w:spacing w:line="360" w:lineRule="auto"/>
        <w:ind w:firstLine="0"/>
        <w:jc w:val="both"/>
      </w:pPr>
      <w:r>
        <w:rPr>
          <w:rFonts w:ascii="Times New Roman" w:hAnsi="Times New Roman"/>
          <w:sz w:val="24"/>
        </w:rPr>
        <w:t>• OEMs are actively seeking differentiated battery technologies to reduce range anxiety and improve user experience.</w:t>
      </w:r>
    </w:p>
    <w:p>
      <w:pPr>
        <w:spacing w:line="360" w:lineRule="auto"/>
        <w:ind w:firstLine="0"/>
        <w:jc w:val="both"/>
      </w:pPr>
      <w:r>
        <w:rPr>
          <w:rFonts w:ascii="Times New Roman" w:hAnsi="Times New Roman"/>
          <w:sz w:val="24"/>
        </w:rPr>
        <w:t>• Existing partnerships with 15+ OEMs and battery manufacturers provide a platform for rapid scaling and crossmarket penetration.</w:t>
      </w:r>
    </w:p>
    <w:p>
      <w:pPr>
        <w:spacing w:line="360" w:lineRule="auto"/>
        <w:ind w:firstLine="0"/>
        <w:jc w:val="both"/>
      </w:pPr>
      <w:r>
        <w:rPr>
          <w:rFonts w:ascii="Times New Roman" w:hAnsi="Times New Roman"/>
          <w:sz w:val="24"/>
        </w:rPr>
        <w:t>• Potential to expand licensing into adjacent markets such as emobility, consumer electronics, and grid storage.</w:t>
      </w:r>
    </w:p>
    <w:p>
      <w:pPr>
        <w:spacing w:line="360" w:lineRule="auto"/>
        <w:ind w:firstLine="0"/>
        <w:jc w:val="both"/>
      </w:pPr>
      <w:r>
        <w:rPr>
          <w:rFonts w:ascii="Times New Roman" w:hAnsi="Times New Roman"/>
          <w:sz w:val="24"/>
        </w:rPr>
        <w:t>• Development plans for semisolid and postlithium batteries by 2032 position StoreDot to stay ahead of evolving battery chemistries and market demands.</w:t>
      </w:r>
    </w:p>
    <w:p>
      <w:pPr>
        <w:spacing w:line="360" w:lineRule="auto"/>
        <w:ind w:firstLine="0"/>
        <w:jc w:val="both"/>
      </w:pPr>
      <w:r>
        <w:rPr>
          <w:rFonts w:ascii="Times New Roman" w:hAnsi="Times New Roman"/>
          <w:sz w:val="24"/>
        </w:rPr>
        <w:t>• AI/MLdriven R&amp;D may accelerate innovation cycles and cost reductions.</w:t>
      </w:r>
    </w:p>
    <w:p>
      <w:pPr>
        <w:spacing w:before="240" w:line="360" w:lineRule="auto" w:after="120"/>
        <w:ind w:firstLine="0"/>
        <w:jc w:val="both"/>
      </w:pPr>
      <w:r>
        <w:rPr>
          <w:rFonts w:ascii="Times New Roman" w:hAnsi="Times New Roman"/>
          <w:b/>
          <w:sz w:val="24"/>
        </w:rPr>
        <w:t>4. ESG &amp; Sustainability Trends</w:t>
      </w:r>
    </w:p>
    <w:p>
      <w:pPr>
        <w:spacing w:line="360" w:lineRule="auto"/>
        <w:ind w:firstLine="0"/>
        <w:jc w:val="both"/>
      </w:pPr>
      <w:r>
        <w:rPr>
          <w:rFonts w:ascii="Times New Roman" w:hAnsi="Times New Roman"/>
          <w:sz w:val="24"/>
        </w:rPr>
        <w:t>• Reduced cobalt content and dry production methods align with growing ESG mandates and consumer preferences for sustainable battery solutions.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Failure to meet performance, safety, or cost targets during BSample and pilot production phases could delay or derail commercialization.</w:t>
      </w:r>
    </w:p>
    <w:p>
      <w:pPr>
        <w:spacing w:line="360" w:lineRule="auto"/>
        <w:ind w:firstLine="0"/>
        <w:jc w:val="both"/>
      </w:pPr>
      <w:r>
        <w:rPr>
          <w:rFonts w:ascii="Times New Roman" w:hAnsi="Times New Roman"/>
          <w:sz w:val="24"/>
        </w:rPr>
        <w:t>• Scaling from lab to mass production often uncovers unforeseen challenges in yield, quality, and supply chain.</w:t>
      </w:r>
    </w:p>
    <w:p>
      <w:pPr>
        <w:spacing w:line="360" w:lineRule="auto"/>
        <w:ind w:firstLine="0"/>
        <w:jc w:val="both"/>
      </w:pPr>
      <w:r>
        <w:rPr>
          <w:rFonts w:ascii="Times New Roman" w:hAnsi="Times New Roman"/>
          <w:sz w:val="24"/>
        </w:rPr>
        <w:t>• Strong competitors like QuantumScape (solidstate), Sila Nanotechnologies (silicon anodes), and Amprius (silicon nanowires) have deep pockets and advanced tech pipelines.</w:t>
      </w:r>
    </w:p>
    <w:p>
      <w:pPr>
        <w:spacing w:line="360" w:lineRule="auto"/>
        <w:ind w:firstLine="0"/>
        <w:jc w:val="both"/>
      </w:pPr>
      <w:r>
        <w:rPr>
          <w:rFonts w:ascii="Times New Roman" w:hAnsi="Times New Roman"/>
          <w:sz w:val="24"/>
        </w:rPr>
        <w:t>• Competitors may achieve faster commercialization or superior performance, eroding StoreDot’s market share.</w:t>
      </w:r>
    </w:p>
    <w:p>
      <w:pPr>
        <w:spacing w:line="360" w:lineRule="auto"/>
        <w:ind w:firstLine="0"/>
        <w:jc w:val="both"/>
      </w:pPr>
      <w:r>
        <w:rPr>
          <w:rFonts w:ascii="Times New Roman" w:hAnsi="Times New Roman"/>
          <w:sz w:val="24"/>
        </w:rPr>
        <w:t>• Regulatory delays or evolving standards in battery safety and environmental compliance could impact timetomarket.</w:t>
      </w:r>
    </w:p>
    <w:p>
      <w:pPr>
        <w:spacing w:line="360" w:lineRule="auto"/>
        <w:ind w:firstLine="0"/>
        <w:jc w:val="both"/>
      </w:pPr>
      <w:r>
        <w:rPr>
          <w:rFonts w:ascii="Times New Roman" w:hAnsi="Times New Roman"/>
          <w:sz w:val="24"/>
        </w:rPr>
        <w:t>• OEMs may be cautious in adopting new battery chemistries due to warranty, safety, and integration risks.</w:t>
      </w:r>
    </w:p>
    <w:p>
      <w:pPr>
        <w:spacing w:line="360" w:lineRule="auto"/>
        <w:ind w:firstLine="0"/>
        <w:jc w:val="both"/>
      </w:pPr>
      <w:r>
        <w:rPr>
          <w:rFonts w:ascii="Times New Roman" w:hAnsi="Times New Roman"/>
          <w:sz w:val="24"/>
        </w:rPr>
        <w:t>• Lack of transparency on funding status raises concerns about StoreDot’s ability to sustain operations through commercialization.</w:t>
      </w:r>
    </w:p>
    <w:p>
      <w:pPr>
        <w:spacing w:line="360" w:lineRule="auto"/>
        <w:ind w:firstLine="0"/>
        <w:jc w:val="both"/>
      </w:pPr>
      <w:r>
        <w:rPr>
          <w:rFonts w:ascii="Times New Roman" w:hAnsi="Times New Roman"/>
          <w:sz w:val="24"/>
        </w:rPr>
        <w:t>• Potential dilution or unfavorable financing terms if capital needs increase unexpectedly.</w:t>
      </w:r>
    </w:p>
    <w:p>
      <w:pPr>
        <w:spacing w:line="360" w:lineRule="auto"/>
        <w:ind w:firstLine="0"/>
        <w:jc w:val="both"/>
      </w:pPr>
      <w:r>
        <w:rPr>
          <w:rFonts w:ascii="Times New Roman" w:hAnsi="Times New Roman"/>
          <w:sz w:val="24"/>
        </w:rPr>
        <w:t>• Engage independent battery experts to validate StoreDot’s performance claims, safety profile, and manufacturing scalability.</w:t>
      </w:r>
    </w:p>
    <w:p>
      <w:pPr>
        <w:spacing w:line="360" w:lineRule="auto"/>
        <w:ind w:firstLine="0"/>
        <w:jc w:val="both"/>
      </w:pPr>
      <w:r>
        <w:rPr>
          <w:rFonts w:ascii="Times New Roman" w:hAnsi="Times New Roman"/>
          <w:sz w:val="24"/>
        </w:rPr>
        <w:t>• Request detailed data on cycle life, degradation rates, thermal management, and cost per kWh projections.</w:t>
      </w:r>
    </w:p>
    <w:p>
      <w:pPr>
        <w:spacing w:line="360" w:lineRule="auto"/>
        <w:ind w:firstLine="0"/>
        <w:jc w:val="both"/>
      </w:pPr>
      <w:r>
        <w:rPr>
          <w:rFonts w:ascii="Times New Roman" w:hAnsi="Times New Roman"/>
          <w:sz w:val="24"/>
        </w:rPr>
        <w:t>• Obtain current financial statements, burn rate, runway, and funding history. Assess capital needs to reach 2025 commercialization target.</w:t>
      </w:r>
    </w:p>
    <w:p>
      <w:pPr>
        <w:spacing w:line="360" w:lineRule="auto"/>
        <w:ind w:firstLine="0"/>
        <w:jc w:val="both"/>
      </w:pPr>
      <w:r>
        <w:rPr>
          <w:rFonts w:ascii="Times New Roman" w:hAnsi="Times New Roman"/>
          <w:sz w:val="24"/>
        </w:rPr>
        <w:t>• Evaluate licensing revenue pipeline and contract terms with OEMs and battery manufacturers.</w:t>
      </w:r>
    </w:p>
    <w:p>
      <w:pPr>
        <w:spacing w:line="360" w:lineRule="auto"/>
        <w:ind w:firstLine="0"/>
        <w:jc w:val="both"/>
      </w:pPr>
      <w:r>
        <w:rPr>
          <w:rFonts w:ascii="Times New Roman" w:hAnsi="Times New Roman"/>
          <w:sz w:val="24"/>
        </w:rPr>
        <w:t>• Seek transparency on OEM identities, feedback from A and BSample testing, and timelines for pilot production and volume ramp.</w:t>
      </w:r>
    </w:p>
    <w:p>
      <w:pPr>
        <w:spacing w:line="360" w:lineRule="auto"/>
        <w:ind w:firstLine="0"/>
        <w:jc w:val="both"/>
      </w:pPr>
      <w:r>
        <w:rPr>
          <w:rFonts w:ascii="Times New Roman" w:hAnsi="Times New Roman"/>
          <w:sz w:val="24"/>
        </w:rPr>
        <w:t>• Understand StoreDot’s gotomarket strategy, pricing, and competitive differentiation in detail.</w:t>
      </w:r>
    </w:p>
    <w:p>
      <w:pPr>
        <w:spacing w:line="360" w:lineRule="auto"/>
        <w:ind w:firstLine="0"/>
        <w:jc w:val="both"/>
      </w:pPr>
      <w:r>
        <w:rPr>
          <w:rFonts w:ascii="Times New Roman" w:hAnsi="Times New Roman"/>
          <w:sz w:val="24"/>
        </w:rPr>
        <w:t>• Confirm regulatory approval plans, safety certifications, and risk mitigation measures across target geographies.</w:t>
      </w:r>
    </w:p>
    <w:p>
      <w:pPr>
        <w:spacing w:line="360" w:lineRule="auto"/>
        <w:ind w:firstLine="0"/>
        <w:jc w:val="both"/>
      </w:pPr>
      <w:r>
        <w:rPr>
          <w:rFonts w:ascii="Times New Roman" w:hAnsi="Times New Roman"/>
          <w:sz w:val="24"/>
        </w:rPr>
        <w:t>• Evaluate StoreDot’s capacity to meet evolving battery safety and environmental standards.</w:t>
      </w:r>
    </w:p>
    <w:p>
      <w:pPr>
        <w:spacing w:line="360" w:lineRule="auto"/>
        <w:ind w:firstLine="0"/>
        <w:jc w:val="both"/>
      </w:pPr>
      <w:r>
        <w:rPr>
          <w:rFonts w:ascii="Times New Roman" w:hAnsi="Times New Roman"/>
          <w:sz w:val="24"/>
        </w:rPr>
        <w:t>• Track progress of key competitors and emerging battery technologies to benchmark StoreDot’s relative positioning.</w:t>
      </w:r>
    </w:p>
    <w:p>
      <w:pPr>
        <w:spacing w:line="360" w:lineRule="auto"/>
        <w:ind w:firstLine="0"/>
        <w:jc w:val="both"/>
      </w:pPr>
      <w:r>
        <w:rPr>
          <w:rFonts w:ascii="Times New Roman" w:hAnsi="Times New Roman"/>
          <w:sz w:val="24"/>
        </w:rPr>
        <w:t>• Identify potential strategic partners or acquirers interested in StoreDot’s IP and technology.</w:t>
      </w:r>
    </w:p>
    <w:p>
      <w:pPr>
        <w:spacing w:line="360" w:lineRule="auto"/>
        <w:ind w:firstLine="0"/>
        <w:jc w:val="both"/>
      </w:pPr>
      <w:r>
        <w:rPr>
          <w:rFonts w:ascii="Times New Roman" w:hAnsi="Times New Roman"/>
          <w:sz w:val="24"/>
        </w:rPr>
        <w:t>• Given earlystage technology and financial opacity, structure investment in tranches tied to technical milestones (e.g., successful BSample validation, pilot production, OEM qualification).</w:t>
      </w:r>
    </w:p>
    <w:p>
      <w:pPr>
        <w:spacing w:line="360" w:lineRule="auto"/>
        <w:ind w:firstLine="0"/>
        <w:jc w:val="both"/>
      </w:pPr>
      <w:r>
        <w:rPr>
          <w:rFonts w:ascii="Times New Roman" w:hAnsi="Times New Roman"/>
          <w:sz w:val="24"/>
        </w:rPr>
        <w:t>• Include rights for followon funding and exit options aligned with commercialization progress.</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