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All was Automatically Generated by the VC Intelligence System</w:t>
      </w:r>
    </w:p>
    <w:p>
      <w:pPr>
        <w:jc w:val="center"/>
      </w:pPr>
      <w:r>
        <w:rPr>
          <w:rFonts w:ascii="Times New Roman" w:hAnsi="Times New Roman"/>
          <w:sz w:val="28"/>
        </w:rPr>
        <w:t>Prepared on July 14, 2025 at 03:14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All</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All</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named 'All' is https://all.com.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$30 K, SOM $5 K; Market Penetration: 4.2 %</w:t>
      </w:r>
    </w:p>
    <w:p>
      <w:pPr>
        <w:spacing w:line="360" w:lineRule="auto"/>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promising higher energy density and faster charging times compared to traditional lithium-ion batteries.</w:t>
      </w:r>
    </w:p>
    <w:p>
      <w:pPr>
        <w:spacing w:line="360" w:lineRule="auto"/>
        <w:jc w:val="both"/>
      </w:pPr>
      <w:r>
        <w:rPr>
          <w:rFonts w:ascii="Times New Roman" w:hAnsi="Times New Roman"/>
          <w:sz w:val="24"/>
        </w:rPr>
        <w:t>• Solid Power: Focuses on all-solid-state battery technology with scalable manufacturing processes aimed at automotive applications.</w:t>
      </w:r>
    </w:p>
    <w:p>
      <w:pPr>
        <w:spacing w:line="360" w:lineRule="auto"/>
        <w:jc w:val="both"/>
      </w:pPr>
      <w:r>
        <w:rPr>
          <w:rFonts w:ascii="Times New Roman" w:hAnsi="Times New Roman"/>
          <w:sz w:val="24"/>
        </w:rPr>
        <w:t>• CATL (Contemporary Amperex Technology Co. Limited): World’s largest lithium-ion battery manufacturer with extensive supply chain integration and investments in next-gen battery chemistries.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approximately 5-10 minutes. Their core business model revolves around developing and licensing advanced silicon-dominant anode lithium-ion battery cells that are compatible with existing Li-ion manufacturing lines, allowing scalable, cost-effective integration into EV supply chains. Key revenue streams likely include licensing fees from OEMs and manufacturing partners, as well as potential direct supply agreements. Their primary customer segments are EV manufacturers and battery producers seeking to differentiate via superior charging speed and battery longevity. StoreDot’s go-to-market strategy involves ongoing testing and partnerships with over 15 OEMs worldwide, targeting commercial readiness by 2025, positioning them ahead of competing battery technologies that are less mature or require higher CAPEX. The technology’s scalability and compatibility with current production infrastructure support rapid adoption aligned with the EV market’s growth trajectory. No recent pivots were noted, but the company emphasizes a clear roadmap toward semi-solid and post-lithium batteries for 2028 and 2032, respectively, indicating a long-term innovation pipeline.</w:t>
      </w:r>
    </w:p>
    <w:p>
      <w:pPr>
        <w:spacing w:line="360" w:lineRule="auto"/>
        <w:jc w:val="both"/>
      </w:pPr>
      <w:r>
        <w:rPr>
          <w:rFonts w:ascii="Times New Roman" w:hAnsi="Times New Roman"/>
          <w:sz w:val="24"/>
        </w:rPr>
        <w:t>Sources: StoreDot April 2023 Corporate Overview; UBS Global EV Battery Makers report (cited in materials).</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Technical Feasibility and Performance: production. Moat: StoreDot has a 3-5 years’ lead on alternative solutions in extreme fast charging technology..</w:t>
      </w:r>
    </w:p>
    <w:p>
      <w:pPr>
        <w:spacing w:line="360" w:lineRule="auto"/>
        <w:jc w:val="both"/>
      </w:pPr>
      <w:r>
        <w:rPr>
          <w:rFonts w:ascii="Times New Roman" w:hAnsi="Times New Roman"/>
          <w:sz w:val="24"/>
        </w:rPr>
        <w:t>Complexity: Not specified.</w:t>
      </w:r>
    </w:p>
    <w:p>
      <w:pPr>
        <w:spacing w:line="360" w:lineRule="auto"/>
        <w:jc w:val="both"/>
      </w:pPr>
      <w:r>
        <w:rPr>
          <w:rFonts w:ascii="Times New Roman" w:hAnsi="Times New Roman"/>
          <w:sz w:val="24"/>
        </w:rPr>
        <w:t>Security: Product safety, data, and IP protection should be addressed.</w:t>
      </w:r>
    </w:p>
    <w:p>
      <w:pPr>
        <w:spacing w:line="360" w:lineRule="auto"/>
        <w:jc w:val="both"/>
      </w:pPr>
      <w:r>
        <w:rPr>
          <w:rFonts w:ascii="Times New Roman" w:hAnsi="Times New Roman"/>
          <w:sz w:val="24"/>
        </w:rPr>
        <w:t>Implementation: Implementation details not specified.</w:t>
      </w:r>
    </w:p>
    <w:p>
      <w:pPr>
        <w:spacing w:line="360" w:lineRule="auto"/>
        <w:jc w:val="both"/>
      </w:pPr>
      <w:r>
        <w:rPr>
          <w:rFonts w:ascii="Times New Roman" w:hAnsi="Times New Roman"/>
          <w:sz w:val="24"/>
        </w:rPr>
        <w:t>Assumption Risks: Assumption risks not specified.</w:t>
      </w:r>
    </w:p>
    <w:p>
      <w:pPr>
        <w:spacing w:line="360" w:lineRule="auto"/>
        <w:jc w:val="both"/>
      </w:pPr>
      <w:r>
        <w:rPr>
          <w:rFonts w:ascii="Times New Roman" w:hAnsi="Times New Roman"/>
          <w:sz w:val="24"/>
        </w:rPr>
        <w:t>Regulatory: Compliance with industry standards and certifications is required.</w:t>
      </w:r>
    </w:p>
    <w:p>
      <w:pPr>
        <w:spacing w:line="360" w:lineRule="auto"/>
        <w:jc w:val="both"/>
      </w:pPr>
      <w:r>
        <w:rPr>
          <w:rFonts w:ascii="Times New Roman" w:hAnsi="Times New Roman"/>
          <w:sz w:val="24"/>
        </w:rPr>
        <w:t>Testing: Independent validation and certification are recommended.</w:t>
      </w:r>
    </w:p>
    <w:p>
      <w:pPr>
        <w:spacing w:line="360" w:lineRule="auto"/>
        <w:jc w:val="both"/>
      </w:pPr>
      <w:r>
        <w:rPr>
          <w:rFonts w:ascii="Times New Roman" w:hAnsi="Times New Roman"/>
          <w:sz w:val="24"/>
        </w:rPr>
        <w:t>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in extreme fast charging technology.</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Annual Revenue (if full SOM captured): $500 M (Assumes ASP $100,000)</w:t>
      </w:r>
    </w:p>
    <w:p>
      <w:pPr>
        <w:spacing w:line="360" w:lineRule="auto"/>
        <w:jc w:val="both"/>
      </w:pPr>
      <w:r>
        <w:rPr>
          <w:rFonts w:ascii="Times New Roman" w:hAnsi="Times New Roman"/>
          <w:sz w:val="24"/>
        </w:rPr>
        <w:t>Potential Valuation (8x revenue): $4 B</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Prior Exits: 2</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advancing extreme fast charging (XFC) lithium-ion battery technology aimed at accelerating electric vehicle (EV) adoption by addressing key barriers such as charging time and infrastructure limitations. Their 100in5 technology promises charging 100 miles in 5 minutes with over 1200 fast charge cycles and minimal degradation, leveraging scalable, drop-in compatible manufacturing processes that reduce cobalt content, supporting sustainability goals. Socially, the technology could alleviate "charging anxiety," enhancing EV user experience and broader adoption, while governance appears strong with a leadership team experienced in automotive and tech industries and a robust patent portfolio. Regulatory alignment is implied through compatibility with industry standards and readiness for mass production by 2025, although explicit references to environmental compliance or supply chain ethics are not detailed. No recent ESG controversies or negative news were found in available sources. Further data on supply chain labor practices, lifecycle environmental impact, and detailed governance policies would strengthen the ESG assessment.</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 Limited financial data</w:t>
      </w:r>
    </w:p>
    <w:p>
      <w:pPr>
        <w:spacing w:line="360" w:lineRule="auto"/>
        <w:jc w:val="both"/>
      </w:pPr>
      <w:r>
        <w:rPr>
          <w:rFonts w:ascii="Times New Roman" w:hAnsi="Times New Roman"/>
          <w:sz w:val="24"/>
        </w:rPr>
        <w:t>• Unknown runway and burn rate</w:t>
      </w:r>
    </w:p>
    <w:p>
      <w:pPr>
        <w:spacing w:line="360" w:lineRule="auto"/>
        <w:jc w:val="both"/>
      </w:pPr>
      <w:r>
        <w:rPr>
          <w:rFonts w:ascii="Times New Roman" w:hAnsi="Times New Roman"/>
          <w:sz w:val="24"/>
        </w:rPr>
        <w:t>• Regulatory: Compliance with evolving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Security: Product safety, data, and IP protection should be addressed.</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for EVs seems to have a strong potential for a successful exit strategy. Potential acquirers could include major EV manufacturers looking to enhance their charging capabilities. With a lead on alternative solutions and a commercially ready product by 2025, an acquisition or IPO could be viable within the next 3-5 years. However, more data on market traction, revenue projections, and partnerships would be needed to fully assess the exit potential.</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w:t>
      </w:r>
    </w:p>
    <w:p>
      <w:pPr>
        <w:spacing w:line="360" w:lineRule="auto"/>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jc w:val="both"/>
      </w:pPr>
      <w:r>
        <w:rPr>
          <w:rFonts w:ascii="Times New Roman" w:hAnsi="Times New Roman"/>
          <w:sz w:val="24"/>
        </w:rPr>
        <w:t>• Clarify the current TRL (Technology Readiness Level) and any remaining technical risks before 2025 commercial readiness.</w:t>
      </w:r>
    </w:p>
    <w:p>
      <w:pPr>
        <w:spacing w:line="360" w:lineRule="auto"/>
        <w:jc w:val="both"/>
      </w:pPr>
      <w:r>
        <w:rPr>
          <w:rFonts w:ascii="Times New Roman" w:hAnsi="Times New Roman"/>
          <w:sz w:val="24"/>
        </w:rPr>
        <w:t>• Obtain data on battery performance degradation over time and under different environmental conditions.</w:t>
      </w:r>
    </w:p>
    <w:p>
      <w:pPr>
        <w:spacing w:line="360" w:lineRule="auto"/>
        <w:jc w:val="both"/>
      </w:pPr>
      <w:r>
        <w:rPr>
          <w:rFonts w:ascii="Times New Roman" w:hAnsi="Times New Roman"/>
          <w:sz w:val="24"/>
        </w:rPr>
        <w:t>• **OEM and Manufacturing Partnerships:**</w:t>
      </w:r>
    </w:p>
    <w:p>
      <w:pPr>
        <w:spacing w:line="360" w:lineRule="auto"/>
        <w:jc w:val="both"/>
      </w:pPr>
      <w:r>
        <w:rPr>
          <w:rFonts w:ascii="Times New Roman" w:hAnsi="Times New Roman"/>
          <w:sz w:val="24"/>
        </w:rPr>
        <w:t>• Get a list of the &gt;15 OEMs and manufacturing partners currently testing the technology, including stage of engagement and feedback.</w:t>
      </w:r>
    </w:p>
    <w:p>
      <w:pPr>
        <w:spacing w:line="360" w:lineRule="auto"/>
        <w:jc w:val="both"/>
      </w:pPr>
      <w:r>
        <w:rPr>
          <w:rFonts w:ascii="Times New Roman" w:hAnsi="Times New Roman"/>
          <w:sz w:val="24"/>
        </w:rPr>
        <w:t>• Understand the terms and exclusivity (if any) of these partnerships.</w:t>
      </w:r>
    </w:p>
    <w:p>
      <w:pPr>
        <w:spacing w:line="360" w:lineRule="auto"/>
        <w:jc w:val="both"/>
      </w:pPr>
      <w:r>
        <w:rPr>
          <w:rFonts w:ascii="Times New Roman" w:hAnsi="Times New Roman"/>
          <w:sz w:val="24"/>
        </w:rPr>
        <w:t>• Confirm manufacturing scale-up plans, capacity, and timelines for 2024 production readiness.</w:t>
      </w:r>
    </w:p>
    <w:p>
      <w:pPr>
        <w:spacing w:line="360" w:lineRule="auto"/>
        <w:jc w:val="both"/>
      </w:pPr>
      <w:r>
        <w:rPr>
          <w:rFonts w:ascii="Times New Roman" w:hAnsi="Times New Roman"/>
          <w:sz w:val="24"/>
        </w:rPr>
        <w:t>• **IP and Competitive Landscape:**</w:t>
      </w:r>
    </w:p>
    <w:p>
      <w:pPr>
        <w:spacing w:line="360" w:lineRule="auto"/>
        <w:jc w:val="both"/>
      </w:pPr>
      <w:r>
        <w:rPr>
          <w:rFonts w:ascii="Times New Roman" w:hAnsi="Times New Roman"/>
          <w:sz w:val="24"/>
        </w:rPr>
        <w:t>• Review the strength and scope of the 78 granted and 22 pending patents, including geographic coverage and potential infringement risks.</w:t>
      </w:r>
    </w:p>
    <w:p>
      <w:pPr>
        <w:spacing w:line="360" w:lineRule="auto"/>
        <w:jc w:val="both"/>
      </w:pPr>
      <w:r>
        <w:rPr>
          <w:rFonts w:ascii="Times New Roman" w:hAnsi="Times New Roman"/>
          <w:sz w:val="24"/>
        </w:rPr>
        <w:t>• Request a competitive analysis comparing StoreDot’s IP and technology to emerging solid-state and semi-solid battery technologies.</w:t>
      </w:r>
    </w:p>
    <w:p>
      <w:pPr>
        <w:spacing w:line="360" w:lineRule="auto"/>
        <w:jc w:val="both"/>
      </w:pPr>
      <w:r>
        <w:rPr>
          <w:rFonts w:ascii="Times New Roman" w:hAnsi="Times New Roman"/>
          <w:sz w:val="24"/>
        </w:rPr>
        <w:t>• Assess potential patent litigation risks or freedom-to-operate issues.</w:t>
      </w:r>
    </w:p>
    <w:p>
      <w:pPr>
        <w:spacing w:line="360" w:lineRule="auto"/>
        <w:jc w:val="both"/>
      </w:pPr>
      <w:r>
        <w:rPr>
          <w:rFonts w:ascii="Times New Roman" w:hAnsi="Times New Roman"/>
          <w:sz w:val="24"/>
        </w:rPr>
        <w:t>• **Cost and Scalability:**</w:t>
      </w:r>
    </w:p>
    <w:p>
      <w:pPr>
        <w:spacing w:line="360" w:lineRule="auto"/>
        <w:jc w:val="both"/>
      </w:pPr>
      <w:r>
        <w:rPr>
          <w:rFonts w:ascii="Times New Roman" w:hAnsi="Times New Roman"/>
          <w:sz w:val="24"/>
        </w:rPr>
        <w:t>• Obtain detailed cost modeling and assumptions supporting the claim of competitive cost structure aligned with industry trajectory.</w:t>
      </w:r>
    </w:p>
    <w:p>
      <w:pPr>
        <w:spacing w:line="360" w:lineRule="auto"/>
        <w:jc w:val="both"/>
      </w:pPr>
      <w:r>
        <w:rPr>
          <w:rFonts w:ascii="Times New Roman" w:hAnsi="Times New Roman"/>
          <w:sz w:val="24"/>
        </w:rPr>
        <w:t>• Clarify the extent of compatibility with existing Li-ion manufacturing lines and any required CAPEX or retrofitting.</w:t>
      </w:r>
    </w:p>
    <w:p>
      <w:pPr>
        <w:spacing w:line="360" w:lineRule="auto"/>
        <w:jc w:val="both"/>
      </w:pPr>
      <w:r>
        <w:rPr>
          <w:rFonts w:ascii="Times New Roman" w:hAnsi="Times New Roman"/>
          <w:sz w:val="24"/>
        </w:rPr>
        <w:t>• Understand supply chain dependencies, especially for silicon anode materials and any rare or constrained components.</w:t>
      </w:r>
    </w:p>
    <w:p>
      <w:pPr>
        <w:spacing w:line="360" w:lineRule="auto"/>
        <w:jc w:val="both"/>
      </w:pPr>
      <w:r>
        <w:rPr>
          <w:rFonts w:ascii="Times New Roman" w:hAnsi="Times New Roman"/>
          <w:sz w:val="24"/>
        </w:rPr>
        <w:t>• **Market and Adoption Risks:**</w:t>
      </w:r>
    </w:p>
    <w:p>
      <w:pPr>
        <w:spacing w:line="360" w:lineRule="auto"/>
        <w:jc w:val="both"/>
      </w:pPr>
      <w:r>
        <w:rPr>
          <w:rFonts w:ascii="Times New Roman" w:hAnsi="Times New Roman"/>
          <w:sz w:val="24"/>
        </w:rPr>
        <w:t>• Explore how StoreDot plans to address charging infrastructure and standardization challenges beyond battery technology.</w:t>
      </w:r>
    </w:p>
    <w:p>
      <w:pPr>
        <w:spacing w:line="360" w:lineRule="auto"/>
        <w:jc w:val="both"/>
      </w:pPr>
      <w:r>
        <w:rPr>
          <w:rFonts w:ascii="Times New Roman" w:hAnsi="Times New Roman"/>
          <w:sz w:val="24"/>
        </w:rPr>
        <w:t>• Assess customer adoption risk given the current EV market dynamics and competing fast-charging solutions.</w:t>
      </w:r>
    </w:p>
    <w:p>
      <w:pPr>
        <w:spacing w:line="360" w:lineRule="auto"/>
        <w:jc w:val="both"/>
      </w:pPr>
      <w:r>
        <w:rPr>
          <w:rFonts w:ascii="Times New Roman" w:hAnsi="Times New Roman"/>
          <w:sz w:val="24"/>
        </w:rPr>
        <w:t>• Clarify licensing model details and expected revenue streams from licensing vs. direct sales.</w:t>
      </w:r>
    </w:p>
    <w:p>
      <w:pPr>
        <w:spacing w:line="360" w:lineRule="auto"/>
        <w:jc w:val="both"/>
      </w:pPr>
      <w:r>
        <w:rPr>
          <w:rFonts w:ascii="Times New Roman" w:hAnsi="Times New Roman"/>
          <w:sz w:val="24"/>
        </w:rPr>
        <w:t>• **Financials and Funding:**</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Understand funding history, current investors, and planned capital raise details.</w:t>
      </w:r>
    </w:p>
    <w:p>
      <w:pPr>
        <w:spacing w:line="360" w:lineRule="auto"/>
        <w:jc w:val="both"/>
      </w:pPr>
      <w:r>
        <w:rPr>
          <w:rFonts w:ascii="Times New Roman" w:hAnsi="Times New Roman"/>
          <w:sz w:val="24"/>
        </w:rPr>
        <w:t>• Clarify use of proceeds and milestones tied to funding tranches.</w:t>
      </w:r>
    </w:p>
    <w:p>
      <w:pPr>
        <w:spacing w:line="360" w:lineRule="auto"/>
        <w:jc w:val="both"/>
      </w:pPr>
      <w:r>
        <w:rPr>
          <w:rFonts w:ascii="Times New Roman" w:hAnsi="Times New Roman"/>
          <w:sz w:val="24"/>
        </w:rPr>
        <w:t>• **Regulatory and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Request details on cobalt reduction and sustainability initiatives in production.</w:t>
      </w:r>
    </w:p>
    <w:p>
      <w:pPr>
        <w:spacing w:line="360" w:lineRule="auto"/>
        <w:jc w:val="both"/>
      </w:pPr>
      <w:r>
        <w:rPr>
          <w:rFonts w:ascii="Times New Roman" w:hAnsi="Times New Roman"/>
          <w:sz w:val="24"/>
        </w:rPr>
        <w:t>• **Team and Execution:**</w:t>
      </w:r>
    </w:p>
    <w:p>
      <w:pPr>
        <w:spacing w:line="360" w:lineRule="auto"/>
        <w:jc w:val="both"/>
      </w:pPr>
      <w:r>
        <w:rPr>
          <w:rFonts w:ascii="Times New Roman" w:hAnsi="Times New Roman"/>
          <w:sz w:val="24"/>
        </w:rPr>
        <w:t>• Validate key team members’ backgrounds and track record in battery commercialization.</w:t>
      </w:r>
    </w:p>
    <w:p>
      <w:pPr>
        <w:spacing w:line="360" w:lineRule="auto"/>
        <w:jc w:val="both"/>
      </w:pPr>
      <w:r>
        <w:rPr>
          <w:rFonts w:ascii="Times New Roman" w:hAnsi="Times New Roman"/>
          <w:sz w:val="24"/>
        </w:rPr>
        <w:t>• Understand organizational structure and hiring plans to support scale-up.</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CTO and R&amp;D leads.</w:t>
      </w:r>
    </w:p>
    <w:p>
      <w:pPr>
        <w:spacing w:line="360" w:lineRule="auto"/>
        <w:jc w:val="both"/>
      </w:pPr>
      <w:r>
        <w:rPr>
          <w:rFonts w:ascii="Times New Roman" w:hAnsi="Times New Roman"/>
          <w:sz w:val="24"/>
        </w:rPr>
        <w:t>• Conduct reference calls with OEM partners.</w:t>
      </w:r>
    </w:p>
    <w:p>
      <w:pPr>
        <w:spacing w:line="360" w:lineRule="auto"/>
        <w:jc w:val="both"/>
      </w:pPr>
      <w:r>
        <w:rPr>
          <w:rFonts w:ascii="Times New Roman" w:hAnsi="Times New Roman"/>
          <w:sz w:val="24"/>
        </w:rPr>
        <w:t>• Engage external battery technology experts for independent due diligence.</w:t>
      </w:r>
    </w:p>
    <w:p>
      <w:pPr>
        <w:spacing w:line="360" w:lineRule="auto"/>
        <w:jc w:val="both"/>
      </w:pPr>
      <w:r>
        <w:rPr>
          <w:rFonts w:ascii="Times New Roman" w:hAnsi="Times New Roman"/>
          <w:sz w:val="24"/>
        </w:rPr>
        <w:t>• Review detailed financial model and IP portfolio with legal counsel.</w:t>
      </w:r>
    </w:p>
    <w:p>
      <w:pPr>
        <w:spacing w:line="360" w:lineRule="auto"/>
        <w:jc w:val="both"/>
      </w:pPr>
      <w:r>
        <w:rPr>
          <w:rFonts w:ascii="Times New Roman" w:hAnsi="Times New Roman"/>
          <w:sz w:val="24"/>
        </w:rPr>
        <w:t>If these areas are addressed satisfactorily, proceed to term sheet discussion.</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**Proprietary Technology &amp; Moat:** StoreDot’s silicon-dominant anode lithium-ion battery technology claims a 3-5 year lead in extreme fast charging (XFC), enabling 100 miles of range in 5-10 minutes. This addresses a critical EV adoption barrier—charging time—and could be a game-changer if validated.</w:t>
      </w:r>
    </w:p>
    <w:p>
      <w:pPr>
        <w:spacing w:line="360" w:lineRule="auto"/>
        <w:jc w:val="both"/>
      </w:pPr>
      <w:r>
        <w:rPr>
          <w:rFonts w:ascii="Times New Roman" w:hAnsi="Times New Roman"/>
          <w:sz w:val="24"/>
        </w:rPr>
        <w:t>• **Strong IP Position:** With 78 granted US patents and 22 pending, StoreDot has a robust intellectual property portfolio, which supports defensibility and potential licensing leverage.</w:t>
      </w:r>
    </w:p>
    <w:p>
      <w:pPr>
        <w:spacing w:line="360" w:lineRule="auto"/>
        <w:jc w:val="both"/>
      </w:pPr>
      <w:r>
        <w:rPr>
          <w:rFonts w:ascii="Times New Roman" w:hAnsi="Times New Roman"/>
          <w:sz w:val="24"/>
        </w:rPr>
        <w:t>• **Strategic Partnerships:** Engagement with over 15 OEMs and manufacturing partners indicates early market interest and potential for commercial adoption. Compatibility with existing Li-ion manufacturing lines enhances scalability and reduces integration friction.</w:t>
      </w:r>
    </w:p>
    <w:p>
      <w:pPr>
        <w:spacing w:line="360" w:lineRule="auto"/>
        <w:jc w:val="both"/>
      </w:pPr>
      <w:r>
        <w:rPr>
          <w:rFonts w:ascii="Times New Roman" w:hAnsi="Times New Roman"/>
          <w:sz w:val="24"/>
        </w:rPr>
        <w:t>• **Clear Commercial Roadmap:** Targeting commercial readiness by 2025 with a long-term innovation pipeline (semi-solid by 2028, post-lithium by 2032) shows strategic foresight and commitment to sustained R&amp;D.</w:t>
      </w:r>
    </w:p>
    <w:p>
      <w:pPr>
        <w:spacing w:line="360" w:lineRule="auto"/>
        <w:jc w:val="both"/>
      </w:pPr>
      <w:r>
        <w:rPr>
          <w:rFonts w:ascii="Times New Roman" w:hAnsi="Times New Roman"/>
          <w:sz w:val="24"/>
        </w:rPr>
        <w:t>• **ESG Alignment:** Reduced cobalt content and improved battery longevity support sustainability goals, which are increasingly important for investors and regulators.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burn rate, or runway data severely limit the ability to assess financial health and capital needs.</w:t>
      </w:r>
    </w:p>
    <w:p>
      <w:pPr>
        <w:spacing w:line="360" w:lineRule="auto"/>
        <w:jc w:val="both"/>
      </w:pPr>
      <w:r>
        <w:rPr>
          <w:rFonts w:ascii="Times New Roman" w:hAnsi="Times New Roman"/>
          <w:sz w:val="24"/>
        </w:rPr>
        <w:t>• **Unverified Technical Claims:** Critical performance metrics (charging speed, cycle life, degradation) lack independent third-party validation. Without this, the technology’s feasibility and safety remain uncertain.</w:t>
      </w:r>
    </w:p>
    <w:p>
      <w:pPr>
        <w:spacing w:line="360" w:lineRule="auto"/>
        <w:jc w:val="both"/>
      </w:pPr>
      <w:r>
        <w:rPr>
          <w:rFonts w:ascii="Times New Roman" w:hAnsi="Times New Roman"/>
          <w:sz w:val="24"/>
        </w:rPr>
        <w:t>• **Market Size Data Issues:** TAM/SAM/SOM figures appear inconsistent or misstated (e.g., TAM $120K is likely a typo or misrepresentation), undermining confidence in market opportunity assessment.</w:t>
      </w:r>
    </w:p>
    <w:p>
      <w:pPr>
        <w:spacing w:line="360" w:lineRule="auto"/>
        <w:jc w:val="both"/>
      </w:pPr>
      <w:r>
        <w:rPr>
          <w:rFonts w:ascii="Times New Roman" w:hAnsi="Times New Roman"/>
          <w:sz w:val="24"/>
        </w:rPr>
        <w:t>• **Limited Team Information:** Only the founder is named, with no details on the broader management or technical team, raising questions about execution capability at scale.</w:t>
      </w:r>
    </w:p>
    <w:p>
      <w:pPr>
        <w:spacing w:line="360" w:lineRule="auto"/>
        <w:jc w:val="both"/>
      </w:pPr>
      <w:r>
        <w:rPr>
          <w:rFonts w:ascii="Times New Roman" w:hAnsi="Times New Roman"/>
          <w:sz w:val="24"/>
        </w:rPr>
        <w:t>• **Regulatory and Safety Details Sparse:** Compliance with evolving battery safety standards and certifications is essential but not detailed, posing potential go-to-market risks.</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Tailwinds:** Regulatory mandates and consumer demand for EVs create a growing market hungry for solutions that reduce charging time and increase convenience.</w:t>
      </w:r>
    </w:p>
    <w:p>
      <w:pPr>
        <w:spacing w:line="360" w:lineRule="auto"/>
        <w:jc w:val="both"/>
      </w:pPr>
      <w:r>
        <w:rPr>
          <w:rFonts w:ascii="Times New Roman" w:hAnsi="Times New Roman"/>
          <w:sz w:val="24"/>
        </w:rPr>
        <w:t>• **Licensing Model Scalability:** Licensing to OEMs and manufacturers can enable rapid scaling without heavy capital expenditure on manufacturing, improving margins and reducing risk.</w:t>
      </w:r>
    </w:p>
    <w:p>
      <w:pPr>
        <w:spacing w:line="360" w:lineRule="auto"/>
        <w:jc w:val="both"/>
      </w:pPr>
      <w:r>
        <w:rPr>
          <w:rFonts w:ascii="Times New Roman" w:hAnsi="Times New Roman"/>
          <w:sz w:val="24"/>
        </w:rPr>
        <w:t>• **First-Mover Advantage:** Being among the first to commercialize XFC batteries compatible with existing lines could secure significant market share before solid-state or other disruptive chemistries mature.</w:t>
      </w:r>
    </w:p>
    <w:p>
      <w:pPr>
        <w:spacing w:line="360" w:lineRule="auto"/>
        <w:jc w:val="both"/>
      </w:pPr>
      <w:r>
        <w:rPr>
          <w:rFonts w:ascii="Times New Roman" w:hAnsi="Times New Roman"/>
          <w:sz w:val="24"/>
        </w:rPr>
        <w:t>• **Potential Strategic Acquisitions:** Major EV manufacturers or battery producers may seek to acquire StoreDot to integrate XFC tech, offering attractive exit pathways.</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Execution Risk:** Scaling from prototype to mass production is notoriously challenging in battery tech; any delays or failures could erode competitive advantage.</w:t>
      </w:r>
    </w:p>
    <w:p>
      <w:pPr>
        <w:spacing w:line="360" w:lineRule="auto"/>
        <w:jc w:val="both"/>
      </w:pPr>
      <w:r>
        <w:rPr>
          <w:rFonts w:ascii="Times New Roman" w:hAnsi="Times New Roman"/>
          <w:sz w:val="24"/>
        </w:rPr>
        <w:t>• **Competitive Threats:** Solid-state battery startups (QuantumScape, Solid Power) and incumbents (CATL) have significant resources and may leapfrog StoreDot’s technology or undercut pricing.</w:t>
      </w:r>
    </w:p>
    <w:p>
      <w:pPr>
        <w:spacing w:line="360" w:lineRule="auto"/>
        <w:jc w:val="both"/>
      </w:pPr>
      <w:r>
        <w:rPr>
          <w:rFonts w:ascii="Times New Roman" w:hAnsi="Times New Roman"/>
          <w:sz w:val="24"/>
        </w:rPr>
        <w:t>• **Supply Chain Constraints:** Silicon anode materials and other inputs may face availability or cost volatility, impacting production and margins.</w:t>
      </w:r>
    </w:p>
    <w:p>
      <w:pPr>
        <w:spacing w:line="360" w:lineRule="auto"/>
        <w:jc w:val="both"/>
      </w:pPr>
      <w:r>
        <w:rPr>
          <w:rFonts w:ascii="Times New Roman" w:hAnsi="Times New Roman"/>
          <w:sz w:val="24"/>
        </w:rPr>
        <w:t>• **Regulatory &amp; Safety Compliance:** Battery safety incidents or failure to meet certification standards could delay commercialization or cause reputational damage.</w:t>
      </w:r>
    </w:p>
    <w:p>
      <w:pPr>
        <w:spacing w:line="360" w:lineRule="auto"/>
        <w:jc w:val="both"/>
      </w:pPr>
      <w:r>
        <w:rPr>
          <w:rFonts w:ascii="Times New Roman" w:hAnsi="Times New Roman"/>
          <w:sz w:val="24"/>
        </w:rPr>
        <w:t>• **Market Adoption Risk:** OEMs may hesitate to adopt new battery chemistries without extensive validation, and infrastructure challenges (charging stations, standards) remain outside StoreDot’s direct control.</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Independent Technical Validation:** Prioritize obtaining third-party test results on charging speed, cycle life, degradation, and safety under real-world conditions before committing capital.</w:t>
      </w:r>
    </w:p>
    <w:p>
      <w:pPr>
        <w:spacing w:line="360" w:lineRule="auto"/>
        <w:jc w:val="both"/>
      </w:pPr>
      <w:r>
        <w:rPr>
          <w:rFonts w:ascii="Times New Roman" w:hAnsi="Times New Roman"/>
          <w:sz w:val="24"/>
        </w:rPr>
        <w:t>2. **Clarify Financials and Funding Needs:** Insist on transparent disclosure of current financial status, burn rate, runway, and planned capital raises to assess investment risk and dilution.</w:t>
      </w:r>
    </w:p>
    <w:p>
      <w:pPr>
        <w:spacing w:line="360" w:lineRule="auto"/>
        <w:jc w:val="both"/>
      </w:pPr>
      <w:r>
        <w:rPr>
          <w:rFonts w:ascii="Times New Roman" w:hAnsi="Times New Roman"/>
          <w:sz w:val="24"/>
        </w:rPr>
        <w:t>3. **Deep Dive into OEM Partnerships:** Verify the identities, engagement levels, exclusivity terms, and feedback from OEM partners to gauge genuine market traction.</w:t>
      </w:r>
    </w:p>
    <w:p>
      <w:pPr>
        <w:spacing w:line="360" w:lineRule="auto"/>
        <w:jc w:val="both"/>
      </w:pPr>
      <w:r>
        <w:rPr>
          <w:rFonts w:ascii="Times New Roman" w:hAnsi="Times New Roman"/>
          <w:sz w:val="24"/>
        </w:rPr>
        <w:t>4. **Conduct Competitive IP and Market Analysis:** Engage external experts to benchmark StoreDot’s IP and technology against emerging battery chemistries and assess freedom-to-operate risks.</w:t>
      </w:r>
    </w:p>
    <w:p>
      <w:pPr>
        <w:spacing w:line="360" w:lineRule="auto"/>
        <w:jc w:val="both"/>
      </w:pPr>
      <w:r>
        <w:rPr>
          <w:rFonts w:ascii="Times New Roman" w:hAnsi="Times New Roman"/>
          <w:sz w:val="24"/>
        </w:rPr>
        <w:t>5. **Evaluate Manufacturing Scalability:** Understand detailed cost models, CAPEX requirements, and supply chain dependencies to validate claims of drop-in compatibility and cost competitiveness.</w:t>
      </w:r>
    </w:p>
    <w:p>
      <w:pPr>
        <w:spacing w:line="360" w:lineRule="auto"/>
        <w:jc w:val="both"/>
      </w:pPr>
      <w:r>
        <w:rPr>
          <w:rFonts w:ascii="Times New Roman" w:hAnsi="Times New Roman"/>
          <w:sz w:val="24"/>
        </w:rPr>
        <w:t>6. **Assess Regulatory and ESG Compliance:** Confirm adherence to global battery safety standards and request detailed sustainability initiatives, including supply chain ethics.</w:t>
      </w:r>
    </w:p>
    <w:p>
      <w:pPr>
        <w:spacing w:line="360" w:lineRule="auto"/>
        <w:jc w:val="both"/>
      </w:pPr>
      <w:r>
        <w:rPr>
          <w:rFonts w:ascii="Times New Roman" w:hAnsi="Times New Roman"/>
          <w:sz w:val="24"/>
        </w:rPr>
        <w:t>7. **Monitor Team and Execution Capability:** Validate the strength and depth of the management and technical teams, including hiring plans to support scale-up.</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deep-tech opportunity with potentially transformative battery technology addressing a critical EV adoption barrier. However, significant information gaps—particularly around financials, independent technical validation, and market traction—introduce material risks. The company’s strong IP position, strategic partnerships, and clear roadmap are promising, but investors should adopt a cautious, staged approach contingent on rigorous due diligence outcomes.</w:t>
      </w:r>
    </w:p>
    <w:p>
      <w:pPr>
        <w:spacing w:line="360" w:lineRule="auto"/>
        <w:jc w:val="both"/>
      </w:pPr>
      <w:r>
        <w:rPr>
          <w:rFonts w:ascii="Times New Roman" w:hAnsi="Times New Roman"/>
          <w:sz w:val="24"/>
        </w:rPr>
        <w:t>**Next Steps:** Proceed with technical deep-dive sessions, OEM reference checks, independent expert reviews, and financial disclosures before advancing to term sheet negotiations.</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