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14, 2025 at 11:30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972B2B5"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360" w:lineRule="auto"/>
        <w:jc w:val="both"/>
        <w:rPr>
          <w:lang w:val="en-US"/>
        </w:rPr>
      </w:pPr>
      <w:r>
        <w:rPr>
          <w:rFonts w:ascii="Times New Roman" w:hAnsi="Times New Roman"/>
          <w:sz w:val="24"/>
        </w:rPr>
        <w:t>INVESTMENT MEMORANDUM – StoreDot</w:t>
      </w:r>
    </w:p>
    <w:p w14:paraId="3FD32F0D" w14:textId="77777777" w:rsidR="00FE612B" w:rsidRPr="00C802F8" w:rsidRDefault="00FE612B" w:rsidP="00C802F8">
      <w:pPr>
        <w:tabs>
          <w:tab w:val="left" w:pos="3060"/>
        </w:tabs>
        <w:rPr>
          <w:lang w:val="en-US"/>
        </w:rPr>
      </w:pPr>
    </w:p>
    <w:p>
      <w:pPr>
        <w:spacing w:after="0"/>
      </w:pPr>
    </w:p>
    <w:p>
      <w:pPr>
        <w:spacing w:line="360" w:lineRule="auto" w:after="120"/>
        <w:jc w:val="both"/>
      </w:pPr>
      <w:r>
        <w:rPr>
          <w:rFonts w:ascii="Times New Roman" w:hAnsi="Times New Roman"/>
          <w:b/>
          <w:sz w:val="24"/>
        </w:rPr>
        <w:t>1. DETAILED SUMMARY</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StoreDot, founded by Doron Myersdorf,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spacing w:after="0"/>
      </w:pPr>
    </w:p>
    <w:p>
      <w:pPr>
        <w:spacing w:line="360" w:lineRule="auto" w:after="120"/>
        <w:jc w:val="both"/>
      </w:pPr>
      <w:r>
        <w:rPr>
          <w:rFonts w:ascii="Times New Roman" w:hAnsi="Times New Roman"/>
          <w:b/>
          <w:sz w:val="24"/>
        </w:rPr>
        <w:t>2. COMPANY OVERVIEW</w:t>
      </w:r>
    </w:p>
    <w:p>
      <w:pPr>
        <w:spacing w:line="360" w:lineRule="auto"/>
        <w:jc w:val="both"/>
      </w:pPr>
      <w:r>
        <w:rPr>
          <w:rFonts w:ascii="Times New Roman" w:hAnsi="Times New Roman"/>
          <w:sz w:val="24"/>
        </w:rPr>
        <w:t>Company: StoreDot</w:t>
      </w:r>
    </w:p>
    <w:p>
      <w:pPr>
        <w:spacing w:line="360" w:lineRule="auto"/>
        <w:jc w:val="both"/>
      </w:pPr>
      <w:r>
        <w:rPr>
          <w:rFonts w:ascii="Times New Roman" w:hAnsi="Times New Roman"/>
          <w:sz w:val="24"/>
        </w:rPr>
        <w:t>Sector: Battery Technology</w:t>
      </w:r>
    </w:p>
    <w:p>
      <w:pPr>
        <w:spacing w:line="360" w:lineRule="auto"/>
        <w:jc w:val="both"/>
      </w:pPr>
      <w:r>
        <w:rPr>
          <w:rFonts w:ascii="Times New Roman" w:hAnsi="Times New Roman"/>
          <w:sz w:val="24"/>
        </w:rPr>
        <w:t>Website: The official website for the company 'StoreDot' is https://storedot.com.</w:t>
      </w:r>
    </w:p>
    <w:p>
      <w:pPr>
        <w:spacing w:line="360" w:lineRule="auto"/>
        <w:jc w:val="both"/>
      </w:pPr>
      <w:r>
        <w:rPr>
          <w:rFonts w:ascii="Times New Roman" w:hAnsi="Times New Roman"/>
          <w:sz w:val="24"/>
        </w:rPr>
        <w:t>Funding Stage: Undisclosed (no public data found)</w:t>
      </w:r>
    </w:p>
    <w:p>
      <w:pPr>
        <w:spacing w:line="360" w:lineRule="auto"/>
        <w:jc w:val="both"/>
      </w:pPr>
      <w:r>
        <w:rPr>
          <w:rFonts w:ascii="Times New Roman" w:hAnsi="Times New Roman"/>
          <w:sz w:val="24"/>
        </w:rPr>
        <w:t>Team: Doron Myersdorf</w:t>
      </w:r>
    </w:p>
    <w:p>
      <w:pPr>
        <w:spacing w:after="0"/>
      </w:pPr>
    </w:p>
    <w:p>
      <w:pPr>
        <w:spacing w:line="360" w:lineRule="auto" w:after="120"/>
        <w:jc w:val="both"/>
      </w:pPr>
      <w:r>
        <w:rPr>
          <w:rFonts w:ascii="Times New Roman" w:hAnsi="Times New Roman"/>
          <w:b/>
          <w:sz w:val="24"/>
        </w:rPr>
        <w:t>3. PROBLEM STATEMENT</w:t>
      </w:r>
    </w:p>
    <w:p>
      <w:pPr>
        <w:spacing w:line="360" w:lineRule="auto"/>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after="0"/>
      </w:pPr>
    </w:p>
    <w:p>
      <w:pPr>
        <w:spacing w:line="360" w:lineRule="auto" w:after="120"/>
        <w:jc w:val="both"/>
      </w:pPr>
      <w:r>
        <w:rPr>
          <w:rFonts w:ascii="Times New Roman" w:hAnsi="Times New Roman"/>
          <w:b/>
          <w:sz w:val="24"/>
        </w:rPr>
        <w:t>4. SOLUTION OVERVIEW</w:t>
      </w:r>
    </w:p>
    <w:p>
      <w:pPr>
        <w:spacing w:line="360" w:lineRule="auto"/>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spacing w:after="0"/>
      </w:pPr>
    </w:p>
    <w:p>
      <w:pPr>
        <w:spacing w:line="360" w:lineRule="auto" w:after="120"/>
        <w:jc w:val="both"/>
      </w:pPr>
      <w:r>
        <w:rPr>
          <w:rFonts w:ascii="Times New Roman" w:hAnsi="Times New Roman"/>
          <w:b/>
          <w:sz w:val="24"/>
        </w:rPr>
        <w:t>5. MARKET SIZE &amp; ANALYSIS</w:t>
      </w:r>
    </w:p>
    <w:p>
      <w:pPr>
        <w:spacing w:line="360" w:lineRule="auto"/>
        <w:jc w:val="both"/>
      </w:pPr>
      <w:r>
        <w:rPr>
          <w:rFonts w:ascii="Times New Roman" w:hAnsi="Times New Roman"/>
          <w:sz w:val="24"/>
        </w:rPr>
        <w:t>TAM $150 K, SAM $45 K, SOM $9 K; Market Penetration: 6.0 %</w:t>
      </w:r>
    </w:p>
    <w:p>
      <w:pPr>
        <w:spacing w:line="360" w:lineRule="auto"/>
        <w:jc w:val="both"/>
      </w:pPr>
      <w:r>
        <w:rPr>
          <w:rFonts w:ascii="Times New Roman" w:hAnsi="Times New Roman"/>
          <w:sz w:val="24"/>
        </w:rPr>
        <w:t>Battery Technology</w:t>
      </w:r>
    </w:p>
    <w:p>
      <w:pPr>
        <w:spacing w:after="0"/>
      </w:pPr>
    </w:p>
    <w:p>
      <w:pPr>
        <w:spacing w:line="360" w:lineRule="auto" w:after="120"/>
        <w:jc w:val="both"/>
      </w:pPr>
      <w:r>
        <w:rPr>
          <w:rFonts w:ascii="Times New Roman" w:hAnsi="Times New Roman"/>
          <w:b/>
          <w:sz w:val="24"/>
        </w:rPr>
        <w:t>6. COMPETITIVE LANDSCAPE</w:t>
      </w:r>
    </w:p>
    <w:p>
      <w:pPr>
        <w:spacing w:line="360" w:lineRule="auto"/>
        <w:jc w:val="both"/>
      </w:pPr>
      <w:r>
        <w:rPr>
          <w:rFonts w:ascii="Times New Roman" w:hAnsi="Times New Roman"/>
          <w:sz w:val="24"/>
        </w:rPr>
        <w:t>• QuantumScape: Developing solid-state lithium-metal batteries promising higher energy density and faster charging times. Strength: Developing solid-state lithium-metal batteries promising higher energy density and faster charging times. Weakness: May face scale-up or commercialization challenges.</w:t>
      </w:r>
    </w:p>
    <w:p>
      <w:pPr>
        <w:spacing w:line="360" w:lineRule="auto"/>
        <w:jc w:val="both"/>
      </w:pPr>
      <w:r>
        <w:rPr>
          <w:rFonts w:ascii="Times New Roman" w:hAnsi="Times New Roman"/>
          <w:sz w:val="24"/>
        </w:rPr>
        <w:t>• Sila Nanotechnologies: Innovates silicon-based anode materials to significantly increase battery capacity and performance. Strength: Innovates silicon-based anode materials to significantly increase battery capacity and performance. Weakness: May face scale-up or commercialization challenges.</w:t>
      </w:r>
    </w:p>
    <w:p>
      <w:pPr>
        <w:spacing w:line="360" w:lineRule="auto"/>
        <w:jc w:val="both"/>
      </w:pPr>
      <w:r>
        <w:rPr>
          <w:rFonts w:ascii="Times New Roman" w:hAnsi="Times New Roman"/>
          <w:sz w:val="24"/>
        </w:rPr>
        <w:t>• Solid Power: Focuses on all-solid-state battery technology with scalable manufacturing processes targeting automotive applications. Strength: Focuses on all-solid-state battery technology with scalable manufacturing processes targeting automotive applications. Weakness: May face scale-up or commercialization challenges.</w:t>
      </w:r>
    </w:p>
    <w:p>
      <w:pPr>
        <w:spacing w:after="0"/>
      </w:pPr>
    </w:p>
    <w:p>
      <w:pPr>
        <w:spacing w:line="360" w:lineRule="auto" w:after="120"/>
        <w:jc w:val="both"/>
      </w:pPr>
      <w:r>
        <w:rPr>
          <w:rFonts w:ascii="Times New Roman" w:hAnsi="Times New Roman"/>
          <w:b/>
          <w:sz w:val="24"/>
        </w:rPr>
        <w:t>7. BUSINESS MODEL</w:t>
      </w:r>
    </w:p>
    <w:p>
      <w:pPr>
        <w:spacing w:line="360" w:lineRule="auto"/>
        <w:jc w:val="both"/>
      </w:pPr>
      <w:r>
        <w:rPr>
          <w:rFonts w:ascii="Times New Roman" w:hAnsi="Times New Roman"/>
          <w:sz w:val="24"/>
        </w:rPr>
        <w:t>StoreDot is a battery technology startup focused on enabling extreme fast charging (XFC) for electric vehicles (EVs), aiming to eliminate "charging anxiety" by delivering a charging experience comparable to refueling conventional cars. Their core business model revolves around licensing their proprietary silicon-dominant anode lithium-ion battery technology, which is compatible with existing Li-ion manufacturing lines, to OEMs and battery manufacturers globally. Revenue streams primarily come from licensing fees and partnerships with over 15 OEMs and manufacturing partners currently testing their "100in5" cells, which can charge 100 miles in 5 minutes and are commercially ready by 2025. StoreDot targets EV manufacturers and battery producers as their main customer segments, leveraging a go-to-market strategy focused on integration with existing production infrastructure to ensure scalability and cost competitiveness. The technology’s scalability and compatibility with current manufacturing processes position StoreDot well for mass adoption as EV penetration exceeds 60% of new vehicle sales by 2030. No recent pivots were identified; the company continues to advance its roadmap toward semi-solid and post-lithium batteries for 2028 and beyond, maintaining a strong IP portfolio and leadership team with deep industry expertise.</w:t>
      </w:r>
    </w:p>
    <w:p>
      <w:pPr>
        <w:spacing w:line="360" w:lineRule="auto"/>
        <w:jc w:val="both"/>
      </w:pPr>
      <w:r>
        <w:rPr>
          <w:rFonts w:ascii="Times New Roman" w:hAnsi="Times New Roman"/>
          <w:sz w:val="24"/>
        </w:rPr>
        <w:t>Sources: StoreDot April 2023 Corporate Overview; UBS Global EV Battery Makers report (cited in materials).</w:t>
      </w:r>
    </w:p>
    <w:p>
      <w:pPr>
        <w:spacing w:after="0"/>
      </w:pPr>
    </w:p>
    <w:p>
      <w:pPr>
        <w:spacing w:line="360" w:lineRule="auto" w:after="120"/>
        <w:jc w:val="both"/>
      </w:pPr>
      <w:r>
        <w:rPr>
          <w:rFonts w:ascii="Times New Roman" w:hAnsi="Times New Roman"/>
          <w:b/>
          <w:sz w:val="24"/>
        </w:rPr>
        <w:t>8. TECHNICAL DUE DILIGENCE</w:t>
      </w:r>
    </w:p>
    <w:p>
      <w:pPr>
        <w:spacing w:line="360" w:lineRule="auto"/>
        <w:jc w:val="both"/>
      </w:pPr>
      <w:r>
        <w:rPr>
          <w:rFonts w:ascii="Times New Roman" w:hAnsi="Times New Roman"/>
          <w:sz w:val="24"/>
        </w:rPr>
        <w:t>Technical Feasibility and Performance: production. Moat: StoreDot has a 3-5 years' lead on alternative solutions and a strong patent portfolio. Regulatory: Compliance with industry standards and certifications is required. Testing: Independent validation and certification are recommended. Security: Product safety, data, and IP protection should be addressed. Further technical due diligence is required, including independent validation of performance claims, cycle life, and safety.</w:t>
      </w:r>
    </w:p>
    <w:p>
      <w:pPr>
        <w:spacing w:after="0"/>
      </w:pPr>
    </w:p>
    <w:p>
      <w:pPr>
        <w:spacing w:line="360" w:lineRule="auto" w:after="120"/>
        <w:jc w:val="both"/>
      </w:pPr>
      <w:r>
        <w:rPr>
          <w:rFonts w:ascii="Times New Roman" w:hAnsi="Times New Roman"/>
          <w:b/>
          <w:sz w:val="24"/>
        </w:rPr>
        <w:t>9. PRODUCT DESCRIPTION</w:t>
      </w:r>
    </w:p>
    <w:p>
      <w:pPr>
        <w:spacing w:line="360" w:lineRule="auto"/>
        <w:jc w:val="both"/>
      </w:pPr>
      <w:r>
        <w:rPr>
          <w:rFonts w:ascii="Times New Roman" w:hAnsi="Times New Roman"/>
          <w:sz w:val="24"/>
        </w:rPr>
        <w:t>StoreDot has a 3-5 years' lead on alternative solutions and a strong patent portfolio</w:t>
      </w:r>
    </w:p>
    <w:p>
      <w:pPr>
        <w:spacing w:after="0"/>
      </w:pPr>
    </w:p>
    <w:p>
      <w:pPr>
        <w:spacing w:line="360" w:lineRule="auto" w:after="120"/>
        <w:jc w:val="both"/>
      </w:pPr>
      <w:r>
        <w:rPr>
          <w:rFonts w:ascii="Times New Roman" w:hAnsi="Times New Roman"/>
          <w:b/>
          <w:sz w:val="24"/>
        </w:rPr>
        <w:t>10. FINANCIAL ANALYSIS</w:t>
      </w:r>
    </w:p>
    <w:p>
      <w:pPr>
        <w:spacing w:line="360" w:lineRule="auto"/>
        <w:jc w:val="both"/>
      </w:pPr>
      <w:r>
        <w:rPr>
          <w:rFonts w:ascii="Times New Roman" w:hAnsi="Times New Roman"/>
          <w:sz w:val="24"/>
        </w:rPr>
        <w:t>Company has not released financials as of July 14, 2025.</w:t>
      </w:r>
    </w:p>
    <w:p>
      <w:pPr>
        <w:spacing w:after="0"/>
      </w:pPr>
    </w:p>
    <w:p>
      <w:pPr>
        <w:spacing w:line="360" w:lineRule="auto" w:after="120"/>
        <w:jc w:val="both"/>
      </w:pPr>
      <w:r>
        <w:rPr>
          <w:rFonts w:ascii="Times New Roman" w:hAnsi="Times New Roman"/>
          <w:b/>
          <w:sz w:val="24"/>
        </w:rPr>
        <w:t>11. TEAM &amp; MANAGEMENT</w:t>
      </w:r>
    </w:p>
    <w:p>
      <w:pPr>
        <w:spacing w:line="360" w:lineRule="auto"/>
        <w:jc w:val="both"/>
      </w:pPr>
      <w:r>
        <w:rPr>
          <w:rFonts w:ascii="Times New Roman" w:hAnsi="Times New Roman"/>
          <w:sz w:val="24"/>
        </w:rPr>
        <w:t>Founder: Doron Myersdorf</w:t>
      </w:r>
    </w:p>
    <w:p>
      <w:pPr>
        <w:spacing w:line="360" w:lineRule="auto"/>
        <w:jc w:val="both"/>
      </w:pPr>
      <w:r>
        <w:rPr>
          <w:rFonts w:ascii="Times New Roman" w:hAnsi="Times New Roman"/>
          <w:sz w:val="24"/>
        </w:rPr>
        <w:t>Founder Fit Score: 0.8</w:t>
      </w:r>
    </w:p>
    <w:p>
      <w:pPr>
        <w:spacing w:line="360" w:lineRule="auto"/>
        <w:jc w:val="both"/>
      </w:pPr>
      <w:r>
        <w:rPr>
          <w:rFonts w:ascii="Times New Roman" w:hAnsi="Times New Roman"/>
          <w:sz w:val="24"/>
        </w:rPr>
        <w:t>Prior Exits: 2</w:t>
      </w:r>
    </w:p>
    <w:p>
      <w:pPr>
        <w:spacing w:line="360" w:lineRule="auto"/>
        <w:jc w:val="both"/>
      </w:pPr>
      <w:r>
        <w:rPr>
          <w:rFonts w:ascii="Times New Roman" w:hAnsi="Times New Roman"/>
          <w:sz w:val="24"/>
        </w:rPr>
        <w:t>Sector Experience: Battery Technology</w:t>
      </w:r>
    </w:p>
    <w:p>
      <w:pPr>
        <w:spacing w:after="0"/>
      </w:pPr>
    </w:p>
    <w:p>
      <w:pPr>
        <w:spacing w:line="360" w:lineRule="auto" w:after="120"/>
        <w:jc w:val="both"/>
      </w:pPr>
      <w:r>
        <w:rPr>
          <w:rFonts w:ascii="Times New Roman" w:hAnsi="Times New Roman"/>
          <w:b/>
          <w:sz w:val="24"/>
        </w:rPr>
        <w:t>12. ESG CONSIDERATIONS</w:t>
      </w:r>
    </w:p>
    <w:p>
      <w:pPr>
        <w:spacing w:line="360" w:lineRule="auto"/>
        <w:jc w:val="both"/>
      </w:pPr>
      <w:r>
        <w:rPr>
          <w:rFonts w:ascii="Times New Roman" w:hAnsi="Times New Roman"/>
          <w:sz w:val="24"/>
        </w:rPr>
        <w:t>StoreDot is a battery technology startup focused on enabling extreme fast charging (XFC) for electric vehicles (EVs), aiming to address key barriers to EV adoption such as charging speed and infrastructure limitations. Their proprietary silicon-dominant anode lithium-ion battery technology promises charging times of 10 minutes for 100 miles of range, with over 1200 fast charge cycles without degradation, positioning them ahead of competitors with a commercial readiness target of 2025. StoreDot emphasizes sustainability by reducing cobalt content and utilizing scalable, drop-in compatible manufacturing processes that align with existing lithium-ion battery production, supporting industry cost and environmental goals. Socially, their technology could significantly reduce "charging anxiety," improving EV user experience and accelerating mass adoption, which has positive climate implications. Governance appears strong with an experienced leadership team and advisory board from automotive and battery sectors, though no specific ESG policies or controversies were disclosed in the materials or recent web searches. Overall, StoreDot aligns well with regulatory trends promoting EV adoption and clean transportation but lacks publicly available detailed ESG reporting or impact metrics at this stage.</w:t>
      </w:r>
    </w:p>
    <w:p>
      <w:pPr>
        <w:spacing w:after="0"/>
      </w:pPr>
    </w:p>
    <w:p>
      <w:pPr>
        <w:spacing w:line="360" w:lineRule="auto" w:after="120"/>
        <w:jc w:val="both"/>
      </w:pPr>
      <w:r>
        <w:rPr>
          <w:rFonts w:ascii="Times New Roman" w:hAnsi="Times New Roman"/>
          <w:b/>
          <w:sz w:val="24"/>
        </w:rPr>
        <w:t>13. RISKS &amp; MITIGATIONS</w:t>
      </w:r>
    </w:p>
    <w:p>
      <w:pPr>
        <w:spacing w:line="360" w:lineRule="auto"/>
        <w:jc w:val="both"/>
      </w:pPr>
      <w:r>
        <w:rPr>
          <w:rFonts w:ascii="Times New Roman" w:hAnsi="Times New Roman"/>
          <w:sz w:val="24"/>
        </w:rPr>
        <w:t>Key Risks: Market competition; Financial health; Regulatory risks</w:t>
      </w:r>
    </w:p>
    <w:p>
      <w:pPr>
        <w:spacing w:line="360" w:lineRule="auto"/>
        <w:jc w:val="both"/>
      </w:pPr>
      <w:r>
        <w:rPr>
          <w:rFonts w:ascii="Times New Roman" w:hAnsi="Times New Roman"/>
          <w:sz w:val="24"/>
        </w:rPr>
        <w:t>Regulatory Risk: Compliance with evolving standards and certifications is required.</w:t>
      </w:r>
    </w:p>
    <w:p>
      <w:pPr>
        <w:spacing w:line="360" w:lineRule="auto"/>
        <w:jc w:val="both"/>
      </w:pPr>
      <w:r>
        <w:rPr>
          <w:rFonts w:ascii="Times New Roman" w:hAnsi="Times New Roman"/>
          <w:sz w:val="24"/>
        </w:rPr>
        <w:t>Testing Risk: Independent validation and certification are recommended.</w:t>
      </w:r>
    </w:p>
    <w:p>
      <w:pPr>
        <w:spacing w:line="360" w:lineRule="auto"/>
        <w:jc w:val="both"/>
      </w:pPr>
      <w:r>
        <w:rPr>
          <w:rFonts w:ascii="Times New Roman" w:hAnsi="Times New Roman"/>
          <w:sz w:val="24"/>
        </w:rPr>
        <w:t>Security Risk: Product safety, data, and IP protection should be addressed.</w:t>
      </w:r>
    </w:p>
    <w:p>
      <w:pPr>
        <w:spacing w:after="0"/>
      </w:pPr>
    </w:p>
    <w:p>
      <w:pPr>
        <w:spacing w:line="360" w:lineRule="auto" w:after="120"/>
        <w:jc w:val="both"/>
      </w:pPr>
      <w:r>
        <w:rPr>
          <w:rFonts w:ascii="Times New Roman" w:hAnsi="Times New Roman"/>
          <w:b/>
          <w:sz w:val="24"/>
        </w:rPr>
        <w:t>14. INVESTMENT &amp; EXIT STRATEGIES</w:t>
      </w:r>
    </w:p>
    <w:p>
      <w:pPr>
        <w:spacing w:line="360" w:lineRule="auto"/>
        <w:jc w:val="both"/>
      </w:pPr>
      <w:r>
        <w:rPr>
          <w:rFonts w:ascii="Times New Roman" w:hAnsi="Times New Roman"/>
          <w:sz w:val="24"/>
        </w:rPr>
        <w:t>Based on the information provided, StoreDot's extreme fast charging battery technology seems to have a strong potential for mass adoption in the EV market. Potential exit scenarios could include acquisition by a major EV manufacturer looking to enhance their charging capabilities, or an IPO if StoreDot continues to lead in the market. Recommended exit strategies could involve exploring partnerships with key players in the EV industry and aiming for an exit within the next 3-5 years to capitalize on their lead in the market. Additional information needed for a more detailed analysis includes financial data, current partnerships, and market traction.</w:t>
      </w:r>
    </w:p>
    <w:p>
      <w:pPr>
        <w:spacing w:after="0"/>
      </w:pPr>
    </w:p>
    <w:p>
      <w:pPr>
        <w:spacing w:line="360" w:lineRule="auto" w:after="120"/>
        <w:jc w:val="both"/>
      </w:pPr>
      <w:r>
        <w:rPr>
          <w:rFonts w:ascii="Times New Roman" w:hAnsi="Times New Roman"/>
          <w:b/>
          <w:sz w:val="24"/>
        </w:rPr>
        <w:t>15. FOLLOW-UP QUESTIONS &amp; NEXT STEPS</w:t>
      </w:r>
    </w:p>
    <w:p>
      <w:pPr>
        <w:spacing w:line="360" w:lineRule="auto"/>
        <w:jc w:val="both"/>
      </w:pPr>
      <w:r>
        <w:rPr>
          <w:rFonts w:ascii="Times New Roman" w:hAnsi="Times New Roman"/>
          <w:sz w:val="24"/>
        </w:rPr>
        <w:t>- **Technology Validation &amp; IP**</w:t>
      </w:r>
    </w:p>
    <w:p>
      <w:pPr>
        <w:spacing w:line="360" w:lineRule="auto"/>
        <w:jc w:val="both"/>
      </w:pPr>
      <w:r>
        <w:rPr>
          <w:rFonts w:ascii="Times New Roman" w:hAnsi="Times New Roman"/>
          <w:sz w:val="24"/>
        </w:rPr>
        <w:t>- Request detailed third-party test reports validating the 10-minute charging claim and &gt;1200 cycle life under extreme fast charging conditions.</w:t>
      </w:r>
    </w:p>
    <w:p>
      <w:pPr>
        <w:spacing w:line="360" w:lineRule="auto"/>
        <w:jc w:val="both"/>
      </w:pPr>
      <w:r>
        <w:rPr>
          <w:rFonts w:ascii="Times New Roman" w:hAnsi="Times New Roman"/>
          <w:sz w:val="24"/>
        </w:rPr>
        <w:t>- Clarify the scope and geographic coverage of the 78 granted and 22 pending patents; assess potential IP risks or overlaps.</w:t>
      </w:r>
    </w:p>
    <w:p>
      <w:pPr>
        <w:spacing w:line="360" w:lineRule="auto"/>
        <w:jc w:val="both"/>
      </w:pPr>
      <w:r>
        <w:rPr>
          <w:rFonts w:ascii="Times New Roman" w:hAnsi="Times New Roman"/>
          <w:sz w:val="24"/>
        </w:rPr>
        <w:t>- Understand any dependencies on proprietary materials or rare elements that could impact supply chain or cost.</w:t>
      </w:r>
    </w:p>
    <w:p>
      <w:pPr>
        <w:spacing w:line="360" w:lineRule="auto"/>
        <w:jc w:val="both"/>
      </w:pPr>
      <w:r>
        <w:rPr>
          <w:rFonts w:ascii="Times New Roman" w:hAnsi="Times New Roman"/>
          <w:sz w:val="24"/>
        </w:rPr>
        <w:t>- **OEM &amp; Manufacturing Partnerships**</w:t>
      </w:r>
    </w:p>
    <w:p>
      <w:pPr>
        <w:spacing w:line="360" w:lineRule="auto"/>
        <w:jc w:val="both"/>
      </w:pPr>
      <w:r>
        <w:rPr>
          <w:rFonts w:ascii="Times New Roman" w:hAnsi="Times New Roman"/>
          <w:sz w:val="24"/>
        </w:rPr>
        <w:t>- Obtain a list of the &gt;15 OEMs and manufacturing partners currently testing the 100in5 cells, including stage of engagement and feedback.</w:t>
      </w:r>
    </w:p>
    <w:p>
      <w:pPr>
        <w:spacing w:line="360" w:lineRule="auto"/>
        <w:jc w:val="both"/>
      </w:pPr>
      <w:r>
        <w:rPr>
          <w:rFonts w:ascii="Times New Roman" w:hAnsi="Times New Roman"/>
          <w:sz w:val="24"/>
        </w:rPr>
        <w:t>- Confirm commitments or LOIs from OEMs for commercial adoption starting 2025.</w:t>
      </w:r>
    </w:p>
    <w:p>
      <w:pPr>
        <w:spacing w:line="360" w:lineRule="auto"/>
        <w:jc w:val="both"/>
      </w:pPr>
      <w:r>
        <w:rPr>
          <w:rFonts w:ascii="Times New Roman" w:hAnsi="Times New Roman"/>
          <w:sz w:val="24"/>
        </w:rPr>
        <w:t>- Assess manufacturing scale-up plans, capacity, and timelines to meet projected demand.</w:t>
      </w:r>
    </w:p>
    <w:p>
      <w:pPr>
        <w:spacing w:line="360" w:lineRule="auto"/>
        <w:jc w:val="both"/>
      </w:pPr>
      <w:r>
        <w:rPr>
          <w:rFonts w:ascii="Times New Roman" w:hAnsi="Times New Roman"/>
          <w:sz w:val="24"/>
        </w:rPr>
        <w:t>- **Technology Roadmap &amp; Competitive Landscape**</w:t>
      </w:r>
    </w:p>
    <w:p>
      <w:pPr>
        <w:spacing w:line="360" w:lineRule="auto"/>
        <w:jc w:val="both"/>
      </w:pPr>
      <w:r>
        <w:rPr>
          <w:rFonts w:ascii="Times New Roman" w:hAnsi="Times New Roman"/>
          <w:sz w:val="24"/>
        </w:rPr>
        <w:t>- Request more granular details on the 2028 semi-solid and 2032 post-lithium battery plans, including R&amp;D milestones and risk factors.</w:t>
      </w:r>
    </w:p>
    <w:p>
      <w:pPr>
        <w:spacing w:line="360" w:lineRule="auto"/>
        <w:jc w:val="both"/>
      </w:pPr>
      <w:r>
        <w:rPr>
          <w:rFonts w:ascii="Times New Roman" w:hAnsi="Times New Roman"/>
          <w:sz w:val="24"/>
        </w:rPr>
        <w:t>- Compare StoreDot’s cost structure and performance metrics with leading competitors and emerging battery technologies.</w:t>
      </w:r>
    </w:p>
    <w:p>
      <w:pPr>
        <w:spacing w:line="360" w:lineRule="auto"/>
        <w:jc w:val="both"/>
      </w:pPr>
      <w:r>
        <w:rPr>
          <w:rFonts w:ascii="Times New Roman" w:hAnsi="Times New Roman"/>
          <w:sz w:val="24"/>
        </w:rPr>
        <w:t>- Clarify how StoreDot plans to maintain its 3-5 year lead given rapid innovation in solid-state and other battery chemistries.</w:t>
      </w:r>
    </w:p>
    <w:p>
      <w:pPr>
        <w:spacing w:line="360" w:lineRule="auto"/>
        <w:jc w:val="both"/>
      </w:pPr>
      <w:r>
        <w:rPr>
          <w:rFonts w:ascii="Times New Roman" w:hAnsi="Times New Roman"/>
          <w:sz w:val="24"/>
        </w:rPr>
        <w:t>- **Commercialization &amp; Go-to-Market Strategy**</w:t>
      </w:r>
    </w:p>
    <w:p>
      <w:pPr>
        <w:spacing w:line="360" w:lineRule="auto"/>
        <w:jc w:val="both"/>
      </w:pPr>
      <w:r>
        <w:rPr>
          <w:rFonts w:ascii="Times New Roman" w:hAnsi="Times New Roman"/>
          <w:sz w:val="24"/>
        </w:rPr>
        <w:t>- Understand StoreDot’s licensing model specifics: pricing, exclusivity, and support for licensees.</w:t>
      </w:r>
    </w:p>
    <w:p>
      <w:pPr>
        <w:spacing w:line="360" w:lineRule="auto"/>
        <w:jc w:val="both"/>
      </w:pPr>
      <w:r>
        <w:rPr>
          <w:rFonts w:ascii="Times New Roman" w:hAnsi="Times New Roman"/>
          <w:sz w:val="24"/>
        </w:rPr>
        <w:t>- Explore plans for addressing charging infrastructure and connector standardization challenges alongside battery tech.</w:t>
      </w:r>
    </w:p>
    <w:p>
      <w:pPr>
        <w:spacing w:line="360" w:lineRule="auto"/>
        <w:jc w:val="both"/>
      </w:pPr>
      <w:r>
        <w:rPr>
          <w:rFonts w:ascii="Times New Roman" w:hAnsi="Times New Roman"/>
          <w:sz w:val="24"/>
        </w:rPr>
        <w:t>- Evaluate go-to-market strategy for different regions (US, EU, China) given regulatory and market differences.</w:t>
      </w:r>
    </w:p>
    <w:p>
      <w:pPr>
        <w:spacing w:line="360" w:lineRule="auto"/>
        <w:jc w:val="both"/>
      </w:pPr>
      <w:r>
        <w:rPr>
          <w:rFonts w:ascii="Times New Roman" w:hAnsi="Times New Roman"/>
          <w:sz w:val="24"/>
        </w:rPr>
        <w:t>- **Financials &amp; Funding**</w:t>
      </w:r>
    </w:p>
    <w:p>
      <w:pPr>
        <w:spacing w:line="360" w:lineRule="auto"/>
        <w:jc w:val="both"/>
      </w:pPr>
      <w:r>
        <w:rPr>
          <w:rFonts w:ascii="Times New Roman" w:hAnsi="Times New Roman"/>
          <w:sz w:val="24"/>
        </w:rPr>
        <w:t>- Request current financials, burn rate, and runway details.</w:t>
      </w:r>
    </w:p>
    <w:p>
      <w:pPr>
        <w:spacing w:line="360" w:lineRule="auto"/>
        <w:jc w:val="both"/>
      </w:pPr>
      <w:r>
        <w:rPr>
          <w:rFonts w:ascii="Times New Roman" w:hAnsi="Times New Roman"/>
          <w:sz w:val="24"/>
        </w:rPr>
        <w:t>- Clarify funding requirements to reach production readiness in 2024 and commercialization in 2025.</w:t>
      </w:r>
    </w:p>
    <w:p>
      <w:pPr>
        <w:spacing w:line="360" w:lineRule="auto"/>
        <w:jc w:val="both"/>
      </w:pPr>
      <w:r>
        <w:rPr>
          <w:rFonts w:ascii="Times New Roman" w:hAnsi="Times New Roman"/>
          <w:sz w:val="24"/>
        </w:rPr>
        <w:t>- Understand revenue projections and unit economics for the initial product launch.</w:t>
      </w:r>
    </w:p>
    <w:p>
      <w:pPr>
        <w:spacing w:line="360" w:lineRule="auto"/>
        <w:jc w:val="both"/>
      </w:pPr>
      <w:r>
        <w:rPr>
          <w:rFonts w:ascii="Times New Roman" w:hAnsi="Times New Roman"/>
          <w:sz w:val="24"/>
        </w:rPr>
        <w:t>- **Team &amp; Execution Risk**</w:t>
      </w:r>
    </w:p>
    <w:p>
      <w:pPr>
        <w:spacing w:line="360" w:lineRule="auto"/>
        <w:jc w:val="both"/>
      </w:pPr>
      <w:r>
        <w:rPr>
          <w:rFonts w:ascii="Times New Roman" w:hAnsi="Times New Roman"/>
          <w:sz w:val="24"/>
        </w:rPr>
        <w:t>- Assess depth of technical and operational team beyond leadership, especially in scaling manufacturing.</w:t>
      </w:r>
    </w:p>
    <w:p>
      <w:pPr>
        <w:spacing w:line="360" w:lineRule="auto"/>
        <w:jc w:val="both"/>
      </w:pPr>
      <w:r>
        <w:rPr>
          <w:rFonts w:ascii="Times New Roman" w:hAnsi="Times New Roman"/>
          <w:sz w:val="24"/>
        </w:rPr>
        <w:t>- Confirm key hires planned or needed to support growth and commercialization.</w:t>
      </w:r>
    </w:p>
    <w:p>
      <w:pPr>
        <w:spacing w:line="360" w:lineRule="auto"/>
        <w:jc w:val="both"/>
      </w:pPr>
      <w:r>
        <w:rPr>
          <w:rFonts w:ascii="Times New Roman" w:hAnsi="Times New Roman"/>
          <w:sz w:val="24"/>
        </w:rPr>
        <w:t>- **Sustainability &amp; Supply Chain**</w:t>
      </w:r>
    </w:p>
    <w:p>
      <w:pPr>
        <w:spacing w:line="360" w:lineRule="auto"/>
        <w:jc w:val="both"/>
      </w:pPr>
      <w:r>
        <w:rPr>
          <w:rFonts w:ascii="Times New Roman" w:hAnsi="Times New Roman"/>
          <w:sz w:val="24"/>
        </w:rPr>
        <w:t>- Details on cobalt reduction and other sustainability initiatives in production.</w:t>
      </w:r>
    </w:p>
    <w:p>
      <w:pPr>
        <w:spacing w:line="360" w:lineRule="auto"/>
        <w:jc w:val="both"/>
      </w:pPr>
      <w:r>
        <w:rPr>
          <w:rFonts w:ascii="Times New Roman" w:hAnsi="Times New Roman"/>
          <w:sz w:val="24"/>
        </w:rPr>
        <w:t>- Evaluate supply chain risks for critical raw materials and mitigation strategies.</w:t>
      </w:r>
    </w:p>
    <w:p>
      <w:pPr>
        <w:spacing w:line="360" w:lineRule="auto"/>
        <w:jc w:val="both"/>
      </w:pPr>
      <w:r>
        <w:rPr>
          <w:rFonts w:ascii="Times New Roman" w:hAnsi="Times New Roman"/>
          <w:sz w:val="24"/>
        </w:rPr>
        <w:t>**Next Steps:**</w:t>
      </w:r>
    </w:p>
    <w:p>
      <w:pPr>
        <w:spacing w:line="360" w:lineRule="auto"/>
        <w:jc w:val="both"/>
      </w:pPr>
      <w:r>
        <w:rPr>
          <w:rFonts w:ascii="Times New Roman" w:hAnsi="Times New Roman"/>
          <w:sz w:val="24"/>
        </w:rPr>
        <w:t>- Schedule technical deep-dive with CTO and R&amp;D leads.</w:t>
      </w:r>
    </w:p>
    <w:p>
      <w:pPr>
        <w:spacing w:line="360" w:lineRule="auto"/>
        <w:jc w:val="both"/>
      </w:pPr>
      <w:r>
        <w:rPr>
          <w:rFonts w:ascii="Times New Roman" w:hAnsi="Times New Roman"/>
          <w:sz w:val="24"/>
        </w:rPr>
        <w:t>- Conduct reference checks with OEM partners.</w:t>
      </w:r>
    </w:p>
    <w:p>
      <w:pPr>
        <w:spacing w:line="360" w:lineRule="auto"/>
        <w:jc w:val="both"/>
      </w:pPr>
      <w:r>
        <w:rPr>
          <w:rFonts w:ascii="Times New Roman" w:hAnsi="Times New Roman"/>
          <w:sz w:val="24"/>
        </w:rPr>
        <w:t>- Engage external battery technology experts for independent validation.</w:t>
      </w:r>
    </w:p>
    <w:p>
      <w:pPr>
        <w:spacing w:line="360" w:lineRule="auto"/>
        <w:jc w:val="both"/>
      </w:pPr>
      <w:r>
        <w:rPr>
          <w:rFonts w:ascii="Times New Roman" w:hAnsi="Times New Roman"/>
          <w:sz w:val="24"/>
        </w:rPr>
        <w:t>- Review detailed financial model and commercialization plan.</w:t>
      </w:r>
    </w:p>
    <w:p>
      <w:pPr>
        <w:spacing w:line="360" w:lineRule="auto"/>
        <w:jc w:val="both"/>
      </w:pPr>
      <w:r>
        <w:rPr>
          <w:rFonts w:ascii="Times New Roman" w:hAnsi="Times New Roman"/>
          <w:sz w:val="24"/>
        </w:rPr>
        <w:t>- Monitor regulatory developments impacting battery standards and EV adoption.</w:t>
      </w:r>
    </w:p>
    <w:p>
      <w:pPr>
        <w:spacing w:line="360" w:lineRule="auto"/>
        <w:jc w:val="both"/>
      </w:pPr>
      <w:r>
        <w:rPr>
          <w:rFonts w:ascii="Times New Roman" w:hAnsi="Times New Roman"/>
          <w:sz w:val="24"/>
        </w:rPr>
        <w:t>If these areas are clarified satisfactorily, proceed to term sheet discussions.</w:t>
      </w:r>
    </w:p>
    <w:p>
      <w:pPr>
        <w:spacing w:after="0"/>
      </w:pPr>
    </w:p>
    <w:p>
      <w:pPr>
        <w:spacing w:line="360" w:lineRule="auto" w:after="120"/>
        <w:jc w:val="both"/>
      </w:pPr>
      <w:r>
        <w:rPr>
          <w:rFonts w:ascii="Times New Roman" w:hAnsi="Times New Roman"/>
          <w:b/>
          <w:sz w:val="24"/>
        </w:rPr>
        <w:t>16. FIGURES &amp; VISUALS</w:t>
      </w:r>
    </w:p>
    <w:p>
      <w:pPr>
        <w:spacing w:after="0"/>
      </w:pPr>
    </w:p>
    <w:p>
      <w:pPr>
        <w:spacing w:line="360" w:lineRule="auto" w:after="120"/>
        <w:jc w:val="both"/>
      </w:pPr>
      <w:r>
        <w:rPr>
          <w:rFonts w:ascii="Times New Roman" w:hAnsi="Times New Roman"/>
          <w:b/>
          <w:sz w:val="24"/>
        </w:rPr>
        <w:t>17. APPENDIX: ADDITIONAL TABLES</w:t>
      </w:r>
    </w:p>
    <w:p>
      <w:pPr>
        <w:spacing w:after="0"/>
      </w:pPr>
    </w:p>
    <w:p>
      <w:pPr>
        <w:spacing w:line="360" w:lineRule="auto" w:after="120"/>
        <w:jc w:val="both"/>
      </w:pPr>
      <w:r>
        <w:rPr>
          <w:rFonts w:ascii="Times New Roman" w:hAnsi="Times New Roman"/>
          <w:b/>
          <w:sz w:val="24"/>
        </w:rPr>
        <w:t>18. DISCUSSION &amp; ANALYST COMMENTARY</w:t>
      </w:r>
    </w:p>
    <w:p>
      <w:pPr>
        <w:spacing w:line="360" w:lineRule="auto"/>
        <w:jc w:val="both"/>
      </w:pPr>
      <w:r>
        <w:rPr>
          <w:rFonts w:ascii="Times New Roman" w:hAnsi="Times New Roman"/>
          <w:sz w:val="24"/>
        </w:rPr>
        <w:t>**Analyst Commentary on StoreDot Investment Memo**</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 Key Strengths</w:t>
      </w:r>
    </w:p>
    <w:p>
      <w:pPr>
        <w:spacing w:line="360" w:lineRule="auto"/>
        <w:jc w:val="both"/>
      </w:pPr>
      <w:r>
        <w:rPr>
          <w:rFonts w:ascii="Times New Roman" w:hAnsi="Times New Roman"/>
          <w:sz w:val="24"/>
        </w:rPr>
        <w:t>- **Technological Differentiation &amp; Moat:** StoreDot’s silicon-dominant anode lithium-ion battery technology offers a compelling value proposition—charging 100 miles in 5-10 minutes—which directly addresses a critical EV adoption barrier: charging time and range anxiety. The claimed 3-5 year lead over competitors and a strong patent portfolio (78 granted US patents) provide a defensible IP moat.</w:t>
      </w:r>
    </w:p>
    <w:p>
      <w:pPr>
        <w:spacing w:line="360" w:lineRule="auto"/>
        <w:jc w:val="both"/>
      </w:pPr>
      <w:r>
        <w:rPr>
          <w:rFonts w:ascii="Times New Roman" w:hAnsi="Times New Roman"/>
          <w:sz w:val="24"/>
        </w:rPr>
        <w:t>- **Market Relevance &amp; Timing:** With EV penetration expected to exceed 60% of new vehicle sales by 2030, StoreDot’s technology aligns well with macro trends toward electrification and decarbonization. The compatibility with existing lithium-ion manufacturing lines is a major advantage for rapid scale-up and cost containment.</w:t>
      </w:r>
    </w:p>
    <w:p>
      <w:pPr>
        <w:spacing w:line="360" w:lineRule="auto"/>
        <w:jc w:val="both"/>
      </w:pPr>
      <w:r>
        <w:rPr>
          <w:rFonts w:ascii="Times New Roman" w:hAnsi="Times New Roman"/>
          <w:sz w:val="24"/>
        </w:rPr>
        <w:t>- **Partnerships &amp; Validation Pipeline:** Engagement with over 15 OEMs and manufacturing partners testing the “100in5” cells suggests early market interest and potential for commercial adoption by 2025. This OEM buy-in is critical for licensing success.</w:t>
      </w:r>
    </w:p>
    <w:p>
      <w:pPr>
        <w:spacing w:line="360" w:lineRule="auto"/>
        <w:jc w:val="both"/>
      </w:pPr>
      <w:r>
        <w:rPr>
          <w:rFonts w:ascii="Times New Roman" w:hAnsi="Times New Roman"/>
          <w:sz w:val="24"/>
        </w:rPr>
        <w:t>- **Sustainability Focus:** Reduced cobalt content and drop-in compatibility with existing production lines support ESG goals, which are increasingly important for investors and OEM customers.</w:t>
      </w:r>
    </w:p>
    <w:p>
      <w:pPr>
        <w:spacing w:line="360" w:lineRule="auto"/>
        <w:jc w:val="both"/>
      </w:pPr>
      <w:r>
        <w:rPr>
          <w:rFonts w:ascii="Times New Roman" w:hAnsi="Times New Roman"/>
          <w:sz w:val="24"/>
        </w:rPr>
        <w:t>### Key Weaknesses</w:t>
      </w:r>
    </w:p>
    <w:p>
      <w:pPr>
        <w:spacing w:line="360" w:lineRule="auto"/>
        <w:jc w:val="both"/>
      </w:pPr>
      <w:r>
        <w:rPr>
          <w:rFonts w:ascii="Times New Roman" w:hAnsi="Times New Roman"/>
          <w:sz w:val="24"/>
        </w:rPr>
        <w:t>- **Lack of Financial Transparency:** No financial data, funding stage, or burn rate information is disclosed, limiting assessment of financial health, runway, and capital needs.</w:t>
      </w:r>
    </w:p>
    <w:p>
      <w:pPr>
        <w:spacing w:line="360" w:lineRule="auto"/>
        <w:jc w:val="both"/>
      </w:pPr>
      <w:r>
        <w:rPr>
          <w:rFonts w:ascii="Times New Roman" w:hAnsi="Times New Roman"/>
          <w:sz w:val="24"/>
        </w:rPr>
        <w:t>- **Unverified Technical Claims:** Independent validation of performance claims (charging speed, cycle life, safety) is pending. Without third-party certification, technical risk remains high.</w:t>
      </w:r>
    </w:p>
    <w:p>
      <w:pPr>
        <w:spacing w:line="360" w:lineRule="auto"/>
        <w:jc w:val="both"/>
      </w:pPr>
      <w:r>
        <w:rPr>
          <w:rFonts w:ascii="Times New Roman" w:hAnsi="Times New Roman"/>
          <w:sz w:val="24"/>
        </w:rPr>
        <w:t>- **Limited Team Information:** Beyond the founder’s profile, there is little detail on the broader technical and operational team, raising questions about execution capability at scale.</w:t>
      </w:r>
    </w:p>
    <w:p>
      <w:pPr>
        <w:spacing w:line="360" w:lineRule="auto"/>
        <w:jc w:val="both"/>
      </w:pPr>
      <w:r>
        <w:rPr>
          <w:rFonts w:ascii="Times New Roman" w:hAnsi="Times New Roman"/>
          <w:sz w:val="24"/>
        </w:rPr>
        <w:t>- **Market Size Metrics Ambiguity:** The TAM/SAM/SOM figures ($150K/$45K/$9K) appear inconsistent or incomplete, possibly a typographical error or missing units (likely millions or billions). This undermines confidence in market sizing analysis.</w:t>
      </w:r>
    </w:p>
    <w:p>
      <w:pPr>
        <w:spacing w:line="360" w:lineRule="auto"/>
        <w:jc w:val="both"/>
      </w:pPr>
      <w:r>
        <w:rPr>
          <w:rFonts w:ascii="Times New Roman" w:hAnsi="Times New Roman"/>
          <w:sz w:val="24"/>
        </w:rPr>
        <w:t>### Opportunities</w:t>
      </w:r>
    </w:p>
    <w:p>
      <w:pPr>
        <w:spacing w:line="360" w:lineRule="auto"/>
        <w:jc w:val="both"/>
      </w:pPr>
      <w:r>
        <w:rPr>
          <w:rFonts w:ascii="Times New Roman" w:hAnsi="Times New Roman"/>
          <w:sz w:val="24"/>
        </w:rPr>
        <w:t>- **Licensing Model Scalability:** Licensing to OEMs and battery manufacturers globally could enable rapid revenue growth without heavy capital expenditure on manufacturing.</w:t>
      </w:r>
    </w:p>
    <w:p>
      <w:pPr>
        <w:spacing w:line="360" w:lineRule="auto"/>
        <w:jc w:val="both"/>
      </w:pPr>
      <w:r>
        <w:rPr>
          <w:rFonts w:ascii="Times New Roman" w:hAnsi="Times New Roman"/>
          <w:sz w:val="24"/>
        </w:rPr>
        <w:t>- **Technology Roadmap:** Advancing toward semi-solid (2028) and post-lithium (2032) batteries could extend StoreDot’s competitive advantage and open new markets.</w:t>
      </w:r>
    </w:p>
    <w:p>
      <w:pPr>
        <w:spacing w:line="360" w:lineRule="auto"/>
        <w:jc w:val="both"/>
      </w:pPr>
      <w:r>
        <w:rPr>
          <w:rFonts w:ascii="Times New Roman" w:hAnsi="Times New Roman"/>
          <w:sz w:val="24"/>
        </w:rPr>
        <w:t>- **EV Ecosystem Integration:** Collaborations with charging infrastructure providers and standardization bodies could create synergistic value and accelerate adoption.</w:t>
      </w:r>
    </w:p>
    <w:p>
      <w:pPr>
        <w:spacing w:line="360" w:lineRule="auto"/>
        <w:jc w:val="both"/>
      </w:pPr>
      <w:r>
        <w:rPr>
          <w:rFonts w:ascii="Times New Roman" w:hAnsi="Times New Roman"/>
          <w:sz w:val="24"/>
        </w:rPr>
        <w:t>- **Exit Potential:** Acquisition by major EV or battery players or IPO within 3-5 years is plausible given the strategic importance of fast-charging tech.</w:t>
      </w:r>
    </w:p>
    <w:p>
      <w:pPr>
        <w:spacing w:line="360" w:lineRule="auto"/>
        <w:jc w:val="both"/>
      </w:pPr>
      <w:r>
        <w:rPr>
          <w:rFonts w:ascii="Times New Roman" w:hAnsi="Times New Roman"/>
          <w:sz w:val="24"/>
        </w:rPr>
        <w:t>### Risks</w:t>
      </w:r>
    </w:p>
    <w:p>
      <w:pPr>
        <w:spacing w:line="360" w:lineRule="auto"/>
        <w:jc w:val="both"/>
      </w:pPr>
      <w:r>
        <w:rPr>
          <w:rFonts w:ascii="Times New Roman" w:hAnsi="Times New Roman"/>
          <w:sz w:val="24"/>
        </w:rPr>
        <w:t>- **Competitive Pressure:** Solid-state battery startups (QuantumScape, Solid Power) and silicon-anode innovators (Sila Nanotechnologies) are advancing rapidly. StoreDot must maintain its lead amid potential technological breakthroughs by competitors.</w:t>
      </w:r>
    </w:p>
    <w:p>
      <w:pPr>
        <w:spacing w:line="360" w:lineRule="auto"/>
        <w:jc w:val="both"/>
      </w:pPr>
      <w:r>
        <w:rPr>
          <w:rFonts w:ascii="Times New Roman" w:hAnsi="Times New Roman"/>
          <w:sz w:val="24"/>
        </w:rPr>
        <w:t>- **Commercialization &amp; Scale-up Risk:** Transitioning from prototype/testing to mass production is challenging, especially maintaining performance, safety, and cost targets.</w:t>
      </w:r>
    </w:p>
    <w:p>
      <w:pPr>
        <w:spacing w:line="360" w:lineRule="auto"/>
        <w:jc w:val="both"/>
      </w:pPr>
      <w:r>
        <w:rPr>
          <w:rFonts w:ascii="Times New Roman" w:hAnsi="Times New Roman"/>
          <w:sz w:val="24"/>
        </w:rPr>
        <w:t>- **Regulatory &amp; Certification Risk:** Battery technologies face stringent safety and environmental regulations; delays or failures in certification could impact go-to-market timelines.</w:t>
      </w:r>
    </w:p>
    <w:p>
      <w:pPr>
        <w:spacing w:line="360" w:lineRule="auto"/>
        <w:jc w:val="both"/>
      </w:pPr>
      <w:r>
        <w:rPr>
          <w:rFonts w:ascii="Times New Roman" w:hAnsi="Times New Roman"/>
          <w:sz w:val="24"/>
        </w:rPr>
        <w:t>- **Supply Chain Vulnerabilities:** Dependence on proprietary materials or rare elements could expose StoreDot to supply constraints or cost volatility.</w:t>
      </w:r>
    </w:p>
    <w:p>
      <w:pPr>
        <w:spacing w:line="360" w:lineRule="auto"/>
        <w:jc w:val="both"/>
      </w:pPr>
      <w:r>
        <w:rPr>
          <w:rFonts w:ascii="Times New Roman" w:hAnsi="Times New Roman"/>
          <w:sz w:val="24"/>
        </w:rPr>
        <w:t>- **IP Risks:** Potential patent overlaps or challenges could erode competitive advantage.</w:t>
      </w:r>
    </w:p>
    <w:p>
      <w:pPr>
        <w:spacing w:line="360" w:lineRule="auto"/>
        <w:jc w:val="both"/>
      </w:pPr>
      <w:r>
        <w:rPr>
          <w:rFonts w:ascii="Times New Roman" w:hAnsi="Times New Roman"/>
          <w:sz w:val="24"/>
        </w:rPr>
        <w:t>### Actionable Recommendations for Investors</w:t>
      </w:r>
    </w:p>
    <w:p>
      <w:pPr>
        <w:spacing w:line="360" w:lineRule="auto"/>
        <w:jc w:val="both"/>
      </w:pPr>
      <w:r>
        <w:rPr>
          <w:rFonts w:ascii="Times New Roman" w:hAnsi="Times New Roman"/>
          <w:sz w:val="24"/>
        </w:rPr>
        <w:t>1. **Demand Rigorous Technical Validation:** Insist on independent third-party testing reports confirming charging speed, cycle life, safety, and scalability before committing capital.</w:t>
      </w:r>
    </w:p>
    <w:p>
      <w:pPr>
        <w:spacing w:line="360" w:lineRule="auto"/>
        <w:jc w:val="both"/>
      </w:pPr>
      <w:r>
        <w:rPr>
          <w:rFonts w:ascii="Times New Roman" w:hAnsi="Times New Roman"/>
          <w:sz w:val="24"/>
        </w:rPr>
        <w:t>2. **Clarify Financials &amp; Funding Needs:** Obtain detailed financial statements, burn rate, runway, and capital requirements to assess investment size and dilution risk.</w:t>
      </w:r>
    </w:p>
    <w:p>
      <w:pPr>
        <w:spacing w:line="360" w:lineRule="auto"/>
        <w:jc w:val="both"/>
      </w:pPr>
      <w:r>
        <w:rPr>
          <w:rFonts w:ascii="Times New Roman" w:hAnsi="Times New Roman"/>
          <w:sz w:val="24"/>
        </w:rPr>
        <w:t>3. **Deep Dive into OEM Partnerships:** Verify the nature, scope, and exclusivity of OEM engagements, including LOIs or binding commitments for 2025 commercialization.</w:t>
      </w:r>
    </w:p>
    <w:p>
      <w:pPr>
        <w:spacing w:line="360" w:lineRule="auto"/>
        <w:jc w:val="both"/>
      </w:pPr>
      <w:r>
        <w:rPr>
          <w:rFonts w:ascii="Times New Roman" w:hAnsi="Times New Roman"/>
          <w:sz w:val="24"/>
        </w:rPr>
        <w:t>4. **Assess Team Depth &amp; Execution Capability:** Evaluate the strength of the broader technical and operational team, and identify key hires needed to support scale-up.</w:t>
      </w:r>
    </w:p>
    <w:p>
      <w:pPr>
        <w:spacing w:line="360" w:lineRule="auto"/>
        <w:jc w:val="both"/>
      </w:pPr>
      <w:r>
        <w:rPr>
          <w:rFonts w:ascii="Times New Roman" w:hAnsi="Times New Roman"/>
          <w:sz w:val="24"/>
        </w:rPr>
        <w:t>5. **Monitor Competitive Landscape Closely:** Track advancements by solid-state and silicon-anode competitors to reassess StoreDot’s technology lead periodically.</w:t>
      </w:r>
    </w:p>
    <w:p>
      <w:pPr>
        <w:spacing w:line="360" w:lineRule="auto"/>
        <w:jc w:val="both"/>
      </w:pPr>
      <w:r>
        <w:rPr>
          <w:rFonts w:ascii="Times New Roman" w:hAnsi="Times New Roman"/>
          <w:sz w:val="24"/>
        </w:rPr>
        <w:t>6. **Evaluate Licensing Model Economics:** Understand pricing, royalty structures, and support commitments to forecast revenue and margin profiles.</w:t>
      </w:r>
    </w:p>
    <w:p>
      <w:pPr>
        <w:spacing w:line="360" w:lineRule="auto"/>
        <w:jc w:val="both"/>
      </w:pPr>
      <w:r>
        <w:rPr>
          <w:rFonts w:ascii="Times New Roman" w:hAnsi="Times New Roman"/>
          <w:sz w:val="24"/>
        </w:rPr>
        <w:t>7. **Engage External Experts:** Commission battery technology specialists to review IP portfolio, technical claims, and manufacturing feasibility.</w:t>
      </w:r>
    </w:p>
    <w:p>
      <w:pPr>
        <w:spacing w:line="360" w:lineRule="auto"/>
        <w:jc w:val="both"/>
      </w:pPr>
      <w:r>
        <w:rPr>
          <w:rFonts w:ascii="Times New Roman" w:hAnsi="Times New Roman"/>
          <w:sz w:val="24"/>
        </w:rPr>
        <w:t>8. **Plan for Regulatory &amp; ESG Compliance:** Ensure StoreDot has robust strategies for certification, safety, and sustainability reporting to meet investor and market expectations.</w:t>
      </w:r>
    </w:p>
    <w:p>
      <w:pPr>
        <w:spacing w:line="360" w:lineRule="auto"/>
        <w:jc w:val="both"/>
      </w:pPr>
      <w:r>
        <w:rPr>
          <w:rFonts w:ascii="Times New Roman" w:hAnsi="Times New Roman"/>
          <w:sz w:val="24"/>
        </w:rPr>
        <w:t>### Summary</w:t>
      </w:r>
    </w:p>
    <w:p>
      <w:pPr>
        <w:spacing w:line="360" w:lineRule="auto"/>
        <w:jc w:val="both"/>
      </w:pPr>
      <w:r>
        <w:rPr>
          <w:rFonts w:ascii="Times New Roman" w:hAnsi="Times New Roman"/>
          <w:sz w:val="24"/>
        </w:rPr>
        <w:t>StoreDot presents a promising deep-tech investment opportunity with a potentially transformative battery technology addressing a critical EV adoption bottleneck. The company’s strong IP, OEM partnerships, and scalable licensing model are significant positives. However, the absence of financial transparency, unverified technical claims, and execution risks warrant cautious due diligence. Investors should seek comprehensive validation of technology, financials, and commercial traction before proceeding. If these areas check out, StoreDot could be a compelling play in the fast-growing EV battery space with attractive exit potential in the medium term.</w:t>
      </w:r>
    </w:p>
    <w:p>
      <w:pPr>
        <w:spacing w:line="360" w:lineRule="auto"/>
        <w:jc w:val="both"/>
      </w:pPr>
      <w:r>
        <w:rPr>
          <w:rFonts w:ascii="Times New Roman" w:hAnsi="Times New Roman"/>
          <w:sz w:val="24"/>
        </w:rPr>
        <w:t>Generated by VC Analysis System on July 14, 2025</w:t>
      </w:r>
    </w:p>
    <w:p>
      <w:pPr>
        <w:spacing w:line="360" w:lineRule="auto"/>
        <w:jc w:val="both"/>
      </w:pPr>
      <w:r>
        <w:rPr>
          <w:rFonts w:ascii="Times New Roman" w:hAnsi="Times New Roman"/>
          <w:sz w:val="24"/>
        </w:rPr>
        <w:t>Data Sources: Company documents, market research, competitive intelligence, technical analysis</w:t>
      </w:r>
    </w:p>
    <w:p>
      <w:pPr>
        <w:spacing w:line="360" w:lineRule="auto"/>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FCEAF" w14:textId="77777777" w:rsidR="009B3FE6" w:rsidRDefault="009B3FE6">
      <w:r>
        <w:separator/>
      </w:r>
    </w:p>
  </w:endnote>
  <w:endnote w:type="continuationSeparator" w:id="0">
    <w:p w14:paraId="6D05A3F4" w14:textId="77777777" w:rsidR="009B3FE6" w:rsidRDefault="009B3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635E5" w14:textId="77777777" w:rsidR="009B3FE6" w:rsidRDefault="009B3FE6">
      <w:r>
        <w:separator/>
      </w:r>
    </w:p>
  </w:footnote>
  <w:footnote w:type="continuationSeparator" w:id="0">
    <w:p w14:paraId="02DC1802" w14:textId="77777777" w:rsidR="009B3FE6" w:rsidRDefault="009B3F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8</Words>
  <Characters>48</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55</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25</cp:revision>
  <cp:lastPrinted>2012-08-22T12:07:00Z</cp:lastPrinted>
  <dcterms:created xsi:type="dcterms:W3CDTF">2025-07-11T11:27:00Z</dcterms:created>
  <dcterms:modified xsi:type="dcterms:W3CDTF">2025-07-14T05:43:00Z</dcterms:modified>
</cp:coreProperties>
</file>