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02:04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StoreDot</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$30 K, SOM $5 K; Market Penetration: 4.2 %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Focuses on solid-state lithium-metal batteries promising higher energy density and faster charging. Strength: Focuses on solid-state lithium-metal batteries promising higher energy density and faster charging. Weakness: May face scale-up or commercialization challenges.</w:t>
      </w:r>
    </w:p>
    <w:p>
      <w:pPr>
        <w:spacing w:line="360" w:lineRule="auto"/>
        <w:jc w:val="both"/>
      </w:pPr>
      <w:r>
        <w:rPr>
          <w:rFonts w:ascii="Times New Roman" w:hAnsi="Times New Roman"/>
          <w:sz w:val="24"/>
        </w:rPr>
        <w:t>• Sila Nanotechnologies: Develops silicon-dominant anode materials to enhance lithium-ion battery performance and energy density. Strength: Develops silicon-dominant anode materials to enhance lithium-ion battery performance and energy density. Weakness: May face scale-up or commercialization challenges.</w:t>
      </w:r>
    </w:p>
    <w:p>
      <w:pPr>
        <w:spacing w:line="360" w:lineRule="auto"/>
        <w:jc w:val="both"/>
      </w:pPr>
      <w:r>
        <w:rPr>
          <w:rFonts w:ascii="Times New Roman" w:hAnsi="Times New Roman"/>
          <w:sz w:val="24"/>
        </w:rPr>
        <w:t>• Solid Power: Produces all-solid-state batteries with scalable manufacturing processes targeting automotive applications. Strength: Produces all-solid-state batteries with scalable manufacturing processes targeting automotive applications. Weakness: May face scale-up or commercialization challenges.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to 10 minutes with their proprietary silicon-dominant anode lithium-ion cells. Their business model centers on licensing this scalable, drop-in compatible technology to OEMs and battery manufacturers, leveraging existing lithium-ion production lines to reduce capital expenditure and accelerate market adoption. Key customer segments include EV manufacturers and battery producers, with go-to-market efforts evidenced by ongoing testing partnerships with over 15 OEMs and manufacturing partners worldwide, targeting commercial readiness by 2025. StoreDot’s technology claims superior cycle life (&gt;1200 XFC cycles), competitive cost structure, and compatibility with current industry standards, positioning it ahead of competing battery chemistries like solid-state batteries that are not expected to be production-ready until after 2028. No recent pivots were noted; the company continues to advance its roadmap from silicon-anode cells (2024) to semi-solid (2028) and post-lithium solutions (2032). Sources: StoreDot April 2023 corporate overview, UBS EV battery market data.</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Technical Feasibility and Performance: production. Moat: StoreDot has a 3-5 years' lead on alternative solutions and a strong patent portfolio. Regulatory: Compliance with industry standards and certifications is required. Testing: Independent validation and certification are recommended. Security: Product safety, data, and IP protection should be addressed.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and a strong patent portfolio</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an advanced battery technology startup focused on enabling extreme fast charging (XFC) for electric vehicles (EVs), aiming to overcome key barriers such as charging time and infrastructure limitations that hinder EV mass adoption. Their proprietary silicon-dominant anode lithium-ion batteries promise charging times as low as 10 minutes with high cycle life (&gt;1200 cycles) and no degradation, supporting sustainability by potentially reducing reliance on slower, less efficient battery chemistries and enabling broader EV adoption. The company emphasizes scalable, cost-competitive production compatible with existing lithium-ion manufacturing lines and is actively reducing cobalt content, aligning with environmental sustainability goals. StoreDot’s leadership team includes experienced industry veterans, and their governance appears robust with a global advisory board of EV experts, though detailed ESG governance policies are not publicly disclosed. No recent ESG controversies or regulatory issues were found in available sources, but further data on labor practices, supply chain transparency, and detailed environmental impact assessments would strengthen the ESG evaluation.</w:t>
      </w:r>
    </w:p>
    <w:p>
      <w:pPr>
        <w:spacing w:line="360" w:lineRule="auto"/>
        <w:jc w:val="both"/>
      </w:pPr>
      <w:r>
        <w:rPr>
          <w:rFonts w:ascii="Times New Roman" w:hAnsi="Times New Roman"/>
          <w:sz w:val="24"/>
        </w:rPr>
        <w:t>Sources: StoreDot Corporate Overview April 2023; UBS Global Electric Vehicle Battery Makers report; internal company materials.</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Key Risks: Market competition; Financial health; Regulatory risks</w:t>
      </w:r>
    </w:p>
    <w:p>
      <w:pPr>
        <w:spacing w:line="360" w:lineRule="auto"/>
        <w:jc w:val="both"/>
      </w:pPr>
      <w:r>
        <w:rPr>
          <w:rFonts w:ascii="Times New Roman" w:hAnsi="Times New Roman"/>
          <w:sz w:val="24"/>
        </w:rPr>
        <w:t>Regulatory Risk: Compliance with evolving standards and certifications is required.</w:t>
      </w:r>
    </w:p>
    <w:p>
      <w:pPr>
        <w:spacing w:line="360" w:lineRule="auto"/>
        <w:jc w:val="both"/>
      </w:pPr>
      <w:r>
        <w:rPr>
          <w:rFonts w:ascii="Times New Roman" w:hAnsi="Times New Roman"/>
          <w:sz w:val="24"/>
        </w:rPr>
        <w:t>Testing Risk: Independent validation and certification are recommended.</w:t>
      </w:r>
    </w:p>
    <w:p>
      <w:pPr>
        <w:spacing w:line="360" w:lineRule="auto"/>
        <w:jc w:val="both"/>
      </w:pPr>
      <w:r>
        <w:rPr>
          <w:rFonts w:ascii="Times New Roman" w:hAnsi="Times New Roman"/>
          <w:sz w:val="24"/>
        </w:rPr>
        <w:t>Security Risk: Product safety, data, and IP protection should be addressed.</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a major EV manufacturer looking to enhance their charging capabilities or by a tech company interested in expanding into the EV market. An IPO could also be a viable option if StoreDot continues to demonstrate technological superiority and market readiness. Recommended exit strategies could involve exploring acquisition opportunities within the next 3-5 years or preparing for an IPO in the mid to long term. Additional information needed for a more detailed analysis includes financial projections, market traction, and competition analysis.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freedom-to-operate risks.</w:t>
      </w:r>
    </w:p>
    <w:p>
      <w:pPr>
        <w:spacing w:line="360" w:lineRule="auto"/>
        <w:jc w:val="both"/>
      </w:pPr>
      <w:r>
        <w:rPr>
          <w:rFonts w:ascii="Times New Roman" w:hAnsi="Times New Roman"/>
          <w:sz w:val="24"/>
        </w:rPr>
        <w:t>- Understand any known technology limitations or degradation modes not disclosed.</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any signed commercial agreements or LOIs with OEMs and manufacturing partners.</w:t>
      </w:r>
    </w:p>
    <w:p>
      <w:pPr>
        <w:spacing w:line="360" w:lineRule="auto"/>
        <w:jc w:val="both"/>
      </w:pPr>
      <w:r>
        <w:rPr>
          <w:rFonts w:ascii="Times New Roman" w:hAnsi="Times New Roman"/>
          <w:sz w:val="24"/>
        </w:rPr>
        <w:t>- Assess manufacturing scale-up plans and timelines to meet 2025 commercial readiness, including CAPEX requirements.</w:t>
      </w:r>
    </w:p>
    <w:p>
      <w:pPr>
        <w:spacing w:line="360" w:lineRule="auto"/>
        <w:jc w:val="both"/>
      </w:pPr>
      <w:r>
        <w:rPr>
          <w:rFonts w:ascii="Times New Roman" w:hAnsi="Times New Roman"/>
          <w:sz w:val="24"/>
        </w:rPr>
        <w:t>- **Competitive Landscape &amp; Differentiation**</w:t>
      </w:r>
    </w:p>
    <w:p>
      <w:pPr>
        <w:spacing w:line="360" w:lineRule="auto"/>
        <w:jc w:val="both"/>
      </w:pPr>
      <w:r>
        <w:rPr>
          <w:rFonts w:ascii="Times New Roman" w:hAnsi="Times New Roman"/>
          <w:sz w:val="24"/>
        </w:rPr>
        <w:t>- Request a detailed competitive analysis comparing StoreDot’s technology vs. other fast-charging battery chemistries and solid-state batteries, including cost, performance, and scalability.</w:t>
      </w:r>
    </w:p>
    <w:p>
      <w:pPr>
        <w:spacing w:line="360" w:lineRule="auto"/>
        <w:jc w:val="both"/>
      </w:pPr>
      <w:r>
        <w:rPr>
          <w:rFonts w:ascii="Times New Roman" w:hAnsi="Times New Roman"/>
          <w:sz w:val="24"/>
        </w:rPr>
        <w:t>- Clarify how StoreDot’s technology aligns with evolving EV industry standards and connector types to mitigate charging infrastructure fragmentation.</w:t>
      </w:r>
    </w:p>
    <w:p>
      <w:pPr>
        <w:spacing w:line="360" w:lineRule="auto"/>
        <w:jc w:val="both"/>
      </w:pPr>
      <w:r>
        <w:rPr>
          <w:rFonts w:ascii="Times New Roman" w:hAnsi="Times New Roman"/>
          <w:sz w:val="24"/>
        </w:rPr>
        <w:t>- **Financials &amp; Business Model**</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Clarify StoreDot’s revenue model: licensing, cell sales, joint ventures, or other.</w:t>
      </w:r>
    </w:p>
    <w:p>
      <w:pPr>
        <w:spacing w:line="360" w:lineRule="auto"/>
        <w:jc w:val="both"/>
      </w:pPr>
      <w:r>
        <w:rPr>
          <w:rFonts w:ascii="Times New Roman" w:hAnsi="Times New Roman"/>
          <w:sz w:val="24"/>
        </w:rPr>
        <w:t>- Understand pricing assumptions and cost structure relative to incumbent Li-ion batteries.</w:t>
      </w:r>
    </w:p>
    <w:p>
      <w:pPr>
        <w:spacing w:line="360" w:lineRule="auto"/>
        <w:jc w:val="both"/>
      </w:pPr>
      <w:r>
        <w:rPr>
          <w:rFonts w:ascii="Times New Roman" w:hAnsi="Times New Roman"/>
          <w:sz w:val="24"/>
        </w:rPr>
        <w:t>- **Regulatory &amp; Supply Chain Risks**</w:t>
      </w:r>
    </w:p>
    <w:p>
      <w:pPr>
        <w:spacing w:line="360" w:lineRule="auto"/>
        <w:jc w:val="both"/>
      </w:pPr>
      <w:r>
        <w:rPr>
          <w:rFonts w:ascii="Times New Roman" w:hAnsi="Times New Roman"/>
          <w:sz w:val="24"/>
        </w:rPr>
        <w:t>- Assess supply chain dependencies for critical raw materials, especially silicon anodes and electrolytes.</w:t>
      </w:r>
    </w:p>
    <w:p>
      <w:pPr>
        <w:spacing w:line="360" w:lineRule="auto"/>
        <w:jc w:val="both"/>
      </w:pPr>
      <w:r>
        <w:rPr>
          <w:rFonts w:ascii="Times New Roman" w:hAnsi="Times New Roman"/>
          <w:sz w:val="24"/>
        </w:rPr>
        <w:t>- Understand any regulatory or certification hurdles anticipated for mass-market EV battery adoption.</w:t>
      </w:r>
    </w:p>
    <w:p>
      <w:pPr>
        <w:spacing w:line="360" w:lineRule="auto"/>
        <w:jc w:val="both"/>
      </w:pPr>
      <w:r>
        <w:rPr>
          <w:rFonts w:ascii="Times New Roman" w:hAnsi="Times New Roman"/>
          <w:sz w:val="24"/>
        </w:rPr>
        <w:t>- **Roadmap &amp; Sustainability**</w:t>
      </w:r>
    </w:p>
    <w:p>
      <w:pPr>
        <w:spacing w:line="360" w:lineRule="auto"/>
        <w:jc w:val="both"/>
      </w:pPr>
      <w:r>
        <w:rPr>
          <w:rFonts w:ascii="Times New Roman" w:hAnsi="Times New Roman"/>
          <w:sz w:val="24"/>
        </w:rPr>
        <w:t>- Validate the feasibility of the 2028 semi-solid and 2032 post-lithium battery roadmap milestones.</w:t>
      </w:r>
    </w:p>
    <w:p>
      <w:pPr>
        <w:spacing w:line="360" w:lineRule="auto"/>
        <w:jc w:val="both"/>
      </w:pPr>
      <w:r>
        <w:rPr>
          <w:rFonts w:ascii="Times New Roman" w:hAnsi="Times New Roman"/>
          <w:sz w:val="24"/>
        </w:rPr>
        <w:t>- Request more detail on cobalt reduction and sustainability initiatives in production.</w:t>
      </w:r>
    </w:p>
    <w:p>
      <w:pPr>
        <w:spacing w:line="360" w:lineRule="auto"/>
        <w:jc w:val="both"/>
      </w:pPr>
      <w:r>
        <w:rPr>
          <w:rFonts w:ascii="Times New Roman" w:hAnsi="Times New Roman"/>
          <w:sz w:val="24"/>
        </w:rPr>
        <w:t>- **Team &amp; Execution**</w:t>
      </w:r>
    </w:p>
    <w:p>
      <w:pPr>
        <w:spacing w:line="360" w:lineRule="auto"/>
        <w:jc w:val="both"/>
      </w:pPr>
      <w:r>
        <w:rPr>
          <w:rFonts w:ascii="Times New Roman" w:hAnsi="Times New Roman"/>
          <w:sz w:val="24"/>
        </w:rPr>
        <w:t>- Conduct reference checks on key executives, especially CEO and CTO, focusing on prior technology commercialization success.</w:t>
      </w:r>
    </w:p>
    <w:p>
      <w:pPr>
        <w:spacing w:line="360" w:lineRule="auto"/>
        <w:jc w:val="both"/>
      </w:pPr>
      <w:r>
        <w:rPr>
          <w:rFonts w:ascii="Times New Roman" w:hAnsi="Times New Roman"/>
          <w:sz w:val="24"/>
        </w:rPr>
        <w:t>- Understand organizational capacity to scale R&amp;D and manufacturing simultaneously.</w:t>
      </w:r>
    </w:p>
    <w:p>
      <w:pPr>
        <w:spacing w:line="360" w:lineRule="auto"/>
        <w:jc w:val="both"/>
      </w:pPr>
      <w:r>
        <w:rPr>
          <w:rFonts w:ascii="Times New Roman" w:hAnsi="Times New Roman"/>
          <w:sz w:val="24"/>
        </w:rPr>
        <w:t>- **Next Steps**</w:t>
      </w:r>
    </w:p>
    <w:p>
      <w:pPr>
        <w:spacing w:line="360" w:lineRule="auto"/>
        <w:jc w:val="both"/>
      </w:pPr>
      <w:r>
        <w:rPr>
          <w:rFonts w:ascii="Times New Roman" w:hAnsi="Times New Roman"/>
          <w:sz w:val="24"/>
        </w:rPr>
        <w:t>- Schedule technical deep-dive session with R&amp;D and product teams.</w:t>
      </w:r>
    </w:p>
    <w:p>
      <w:pPr>
        <w:spacing w:line="360" w:lineRule="auto"/>
        <w:jc w:val="both"/>
      </w:pPr>
      <w:r>
        <w:rPr>
          <w:rFonts w:ascii="Times New Roman" w:hAnsi="Times New Roman"/>
          <w:sz w:val="24"/>
        </w:rPr>
        <w:t>- Arrange OEM partner interviews to validate engagement and technology fit.</w:t>
      </w:r>
    </w:p>
    <w:p>
      <w:pPr>
        <w:spacing w:line="360" w:lineRule="auto"/>
        <w:jc w:val="both"/>
      </w:pPr>
      <w:r>
        <w:rPr>
          <w:rFonts w:ascii="Times New Roman" w:hAnsi="Times New Roman"/>
          <w:sz w:val="24"/>
        </w:rPr>
        <w:t>- Initiate IP due diligence with patent counsel.</w:t>
      </w:r>
    </w:p>
    <w:p>
      <w:pPr>
        <w:spacing w:line="360" w:lineRule="auto"/>
        <w:jc w:val="both"/>
      </w:pPr>
      <w:r>
        <w:rPr>
          <w:rFonts w:ascii="Times New Roman" w:hAnsi="Times New Roman"/>
          <w:sz w:val="24"/>
        </w:rPr>
        <w:t>- Request updated financial model and go-to-market strategy.</w:t>
      </w:r>
    </w:p>
    <w:p>
      <w:pPr>
        <w:spacing w:line="360" w:lineRule="auto"/>
        <w:jc w:val="both"/>
      </w:pPr>
      <w:r>
        <w:rPr>
          <w:rFonts w:ascii="Times New Roman" w:hAnsi="Times New Roman"/>
          <w:sz w:val="24"/>
        </w:rPr>
        <w:t>No follow-up questions if all above are addressed satisfactorily.</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Differentiation &amp; Moat:** StoreDot’s silicon-dominant anode lithium-ion technology claims a 3-5 year lead over competitors, enabling extreme fast charging (XFC) of 100 miles in 5-10 minutes. This is a meaningful breakthrough addressing a critical EV adoption barrier—charging time and range anxiety.</w:t>
      </w:r>
    </w:p>
    <w:p>
      <w:pPr>
        <w:spacing w:line="360" w:lineRule="auto"/>
        <w:jc w:val="both"/>
      </w:pPr>
      <w:r>
        <w:rPr>
          <w:rFonts w:ascii="Times New Roman" w:hAnsi="Times New Roman"/>
          <w:sz w:val="24"/>
        </w:rPr>
        <w:t>- **Strong IP Position:** With 78 granted US patents and 22 pending, StoreDot has built a defensible intellectual property portfolio, which is crucial in the highly competitive battery tech space.</w:t>
      </w:r>
    </w:p>
    <w:p>
      <w:pPr>
        <w:spacing w:line="360" w:lineRule="auto"/>
        <w:jc w:val="both"/>
      </w:pPr>
      <w:r>
        <w:rPr>
          <w:rFonts w:ascii="Times New Roman" w:hAnsi="Times New Roman"/>
          <w:sz w:val="24"/>
        </w:rPr>
        <w:t>- **Go-to-Market Partnerships:** Engagements with over 15 OEMs and manufacturing partners indicate early industry validation and potential for licensing deals, which aligns with their asset-light business model.</w:t>
      </w:r>
    </w:p>
    <w:p>
      <w:pPr>
        <w:spacing w:line="360" w:lineRule="auto"/>
        <w:jc w:val="both"/>
      </w:pPr>
      <w:r>
        <w:rPr>
          <w:rFonts w:ascii="Times New Roman" w:hAnsi="Times New Roman"/>
          <w:sz w:val="24"/>
        </w:rPr>
        <w:t>- **Compatibility &amp; Scalability:** The technology’s drop-in compatibility with existing lithium-ion manufacturing lines reduces capital intensity and accelerates adoption, a significant advantage over nascent solid-state alternatives.</w:t>
      </w:r>
    </w:p>
    <w:p>
      <w:pPr>
        <w:spacing w:line="360" w:lineRule="auto"/>
        <w:jc w:val="both"/>
      </w:pPr>
      <w:r>
        <w:rPr>
          <w:rFonts w:ascii="Times New Roman" w:hAnsi="Times New Roman"/>
          <w:sz w:val="24"/>
        </w:rPr>
        <w:t>- **Experienced Founder &amp; Team:** Doron Myersdorf’s prior exits and sector experience lend credibility to execution capability.</w:t>
      </w:r>
    </w:p>
    <w:p>
      <w:pPr>
        <w:spacing w:line="360" w:lineRule="auto"/>
        <w:jc w:val="both"/>
      </w:pPr>
      <w:r>
        <w:rPr>
          <w:rFonts w:ascii="Times New Roman" w:hAnsi="Times New Roman"/>
          <w:sz w:val="24"/>
        </w:rPr>
        <w:t>- **ESG Alignment:** The focus on cobalt reduction and enabling broader EV adoption supports sustainability goals, an increasingly important factor for investors.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financial data or funding stage disclosed limits assessment of financial health, burn rate, and runway, increasing investment risk.</w:t>
      </w:r>
    </w:p>
    <w:p>
      <w:pPr>
        <w:spacing w:line="360" w:lineRule="auto"/>
        <w:jc w:val="both"/>
      </w:pPr>
      <w:r>
        <w:rPr>
          <w:rFonts w:ascii="Times New Roman" w:hAnsi="Times New Roman"/>
          <w:sz w:val="24"/>
        </w:rPr>
        <w:t>- **Unproven Commercial Scale:** Despite partnerships, no confirmed commercial agreements or LOIs were disclosed. The 2025 commercial readiness target remains unproven at scale.</w:t>
      </w:r>
    </w:p>
    <w:p>
      <w:pPr>
        <w:spacing w:line="360" w:lineRule="auto"/>
        <w:jc w:val="both"/>
      </w:pPr>
      <w:r>
        <w:rPr>
          <w:rFonts w:ascii="Times New Roman" w:hAnsi="Times New Roman"/>
          <w:sz w:val="24"/>
        </w:rPr>
        <w:t>- **Technical Validation Pending:** Independent third-party validation of performance claims (charging speed, cycle life, safety) is absent, raising questions about reproducibility and reliability under real-world conditions.</w:t>
      </w:r>
    </w:p>
    <w:p>
      <w:pPr>
        <w:spacing w:line="360" w:lineRule="auto"/>
        <w:jc w:val="both"/>
      </w:pPr>
      <w:r>
        <w:rPr>
          <w:rFonts w:ascii="Times New Roman" w:hAnsi="Times New Roman"/>
          <w:sz w:val="24"/>
        </w:rPr>
        <w:t>- **Market Size Metrics Confusing:** TAM/SAM/SOM figures ($120K/$30K/$5K) appear inconsistent or incomplete—likely a typo or placeholder—hindering market opportunity assessment.</w:t>
      </w:r>
    </w:p>
    <w:p>
      <w:pPr>
        <w:spacing w:line="360" w:lineRule="auto"/>
        <w:jc w:val="both"/>
      </w:pPr>
      <w:r>
        <w:rPr>
          <w:rFonts w:ascii="Times New Roman" w:hAnsi="Times New Roman"/>
          <w:sz w:val="24"/>
        </w:rPr>
        <w:t>- **Competitive Landscape Risks:** Competitors like QuantumScape and Sila Nanotechnologies are pursuing alternative chemistries with potentially higher energy densities, which could leapfrog StoreDot’s silicon-anode approach if they overcome scale-up challenges.</w:t>
      </w:r>
    </w:p>
    <w:p>
      <w:pPr>
        <w:spacing w:line="360" w:lineRule="auto"/>
        <w:jc w:val="both"/>
      </w:pPr>
      <w:r>
        <w:rPr>
          <w:rFonts w:ascii="Times New Roman" w:hAnsi="Times New Roman"/>
          <w:sz w:val="24"/>
        </w:rPr>
        <w:t>- **Roadmap Ambition:** The semi-solid (2028) and post-lithium (2032) milestones are far out and speculative, with no clear evidence of feasibility or funding to support long-term R&amp;D.</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If StoreDot delivers on its promise, it could become a critical enabler for EV OEMs to overcome charging infrastructure bottlenecks, unlocking significant licensing revenue.</w:t>
      </w:r>
    </w:p>
    <w:p>
      <w:pPr>
        <w:spacing w:line="360" w:lineRule="auto"/>
        <w:jc w:val="both"/>
      </w:pPr>
      <w:r>
        <w:rPr>
          <w:rFonts w:ascii="Times New Roman" w:hAnsi="Times New Roman"/>
          <w:sz w:val="24"/>
        </w:rPr>
        <w:t>- **Licensing Model Scalability:** By focusing on IP licensing rather than capital-intensive manufacturing, StoreDot can scale rapidly and partner with multiple OEMs globally.</w:t>
      </w:r>
    </w:p>
    <w:p>
      <w:pPr>
        <w:spacing w:line="360" w:lineRule="auto"/>
        <w:jc w:val="both"/>
      </w:pPr>
      <w:r>
        <w:rPr>
          <w:rFonts w:ascii="Times New Roman" w:hAnsi="Times New Roman"/>
          <w:sz w:val="24"/>
        </w:rPr>
        <w:t>- **Potential Strategic Acquisitions:** Given the strategic importance of battery tech, StoreDot could attract acquisition interest from major automakers or tech conglomerates seeking to secure fast-charging capabilities.</w:t>
      </w:r>
    </w:p>
    <w:p>
      <w:pPr>
        <w:spacing w:line="360" w:lineRule="auto"/>
        <w:jc w:val="both"/>
      </w:pPr>
      <w:r>
        <w:rPr>
          <w:rFonts w:ascii="Times New Roman" w:hAnsi="Times New Roman"/>
          <w:sz w:val="24"/>
        </w:rPr>
        <w:t>- **ESG &amp; Regulatory Tailwinds:** Increasing regulatory pressure for clean transportation and sustainable supply chains may accelerate demand for StoreDot’s technology.</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Commercialization Risk:** Scaling from lab to mass production is notoriously difficult in battery tech; failure to meet performance or safety standards could delay or derail adoption.</w:t>
      </w:r>
    </w:p>
    <w:p>
      <w:pPr>
        <w:spacing w:line="360" w:lineRule="auto"/>
        <w:jc w:val="both"/>
      </w:pPr>
      <w:r>
        <w:rPr>
          <w:rFonts w:ascii="Times New Roman" w:hAnsi="Times New Roman"/>
          <w:sz w:val="24"/>
        </w:rPr>
        <w:t>- **Regulatory &amp; Certification Risk:** Compliance with evolving global battery standards and safety certifications is mandatory and could introduce delays or additional costs.</w:t>
      </w:r>
    </w:p>
    <w:p>
      <w:pPr>
        <w:spacing w:line="360" w:lineRule="auto"/>
        <w:jc w:val="both"/>
      </w:pPr>
      <w:r>
        <w:rPr>
          <w:rFonts w:ascii="Times New Roman" w:hAnsi="Times New Roman"/>
          <w:sz w:val="24"/>
        </w:rPr>
        <w:t>- **IP &amp; Freedom-to-Operate Risks:** Despite a strong patent portfolio, potential infringement or litigation risks exist, especially given the crowded battery IP landscape.</w:t>
      </w:r>
    </w:p>
    <w:p>
      <w:pPr>
        <w:spacing w:line="360" w:lineRule="auto"/>
        <w:jc w:val="both"/>
      </w:pPr>
      <w:r>
        <w:rPr>
          <w:rFonts w:ascii="Times New Roman" w:hAnsi="Times New Roman"/>
          <w:sz w:val="24"/>
        </w:rPr>
        <w:t>- **Supply Chain Dependencies:** Silicon anode and electrolyte materials supply constraints or price volatility could impact production costs and timelines.</w:t>
      </w:r>
    </w:p>
    <w:p>
      <w:pPr>
        <w:spacing w:line="360" w:lineRule="auto"/>
        <w:jc w:val="both"/>
      </w:pPr>
      <w:r>
        <w:rPr>
          <w:rFonts w:ascii="Times New Roman" w:hAnsi="Times New Roman"/>
          <w:sz w:val="24"/>
        </w:rPr>
        <w:t>- **Market Competition &amp; Timing:** Solid-state batteries and other emerging chemistries may reach commercialization later but could offer superior performance, threatening StoreDot’s market share.</w:t>
      </w:r>
    </w:p>
    <w:p>
      <w:pPr>
        <w:spacing w:line="360" w:lineRule="auto"/>
        <w:jc w:val="both"/>
      </w:pPr>
      <w:r>
        <w:rPr>
          <w:rFonts w:ascii="Times New Roman" w:hAnsi="Times New Roman"/>
          <w:sz w:val="24"/>
        </w:rPr>
        <w:t>- **Financial &amp; Execution Risk:** Without disclosed financials, it is unclear if StoreDot has sufficient capital and organizational capacity to meet aggressive timelines and scale manufacturing.</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Independent Technical Validation:** Prioritize obtaining third-party test results confirming StoreDot’s charging speed, cycle life, safety, and degradation under realistic conditions before committing capital.</w:t>
      </w:r>
    </w:p>
    <w:p>
      <w:pPr>
        <w:spacing w:line="360" w:lineRule="auto"/>
        <w:jc w:val="both"/>
      </w:pPr>
      <w:r>
        <w:rPr>
          <w:rFonts w:ascii="Times New Roman" w:hAnsi="Times New Roman"/>
          <w:sz w:val="24"/>
        </w:rPr>
        <w:t>2. **Clarify OEM Partnership Status:** Request detailed information on the &gt;15 OEMs’ engagement stages, signed agreements, and feedback to assess commercial traction and revenue visibility.</w:t>
      </w:r>
    </w:p>
    <w:p>
      <w:pPr>
        <w:spacing w:line="360" w:lineRule="auto"/>
        <w:jc w:val="both"/>
      </w:pPr>
      <w:r>
        <w:rPr>
          <w:rFonts w:ascii="Times New Roman" w:hAnsi="Times New Roman"/>
          <w:sz w:val="24"/>
        </w:rPr>
        <w:t>3. **Conduct IP Due Diligence:** Engage patent counsel to review the scope, geographic coverage, and potential freedom-to-operate issues to mitigate litigation risk.</w:t>
      </w:r>
    </w:p>
    <w:p>
      <w:pPr>
        <w:spacing w:line="360" w:lineRule="auto"/>
        <w:jc w:val="both"/>
      </w:pPr>
      <w:r>
        <w:rPr>
          <w:rFonts w:ascii="Times New Roman" w:hAnsi="Times New Roman"/>
          <w:sz w:val="24"/>
        </w:rPr>
        <w:t>4. **Request Financial Transparency:** Insist on disclosure of current financials, burn rate, runway, and detailed business model economics (licensing fees, pricing, cost structure) to evaluate sustainability.</w:t>
      </w:r>
    </w:p>
    <w:p>
      <w:pPr>
        <w:spacing w:line="360" w:lineRule="auto"/>
        <w:jc w:val="both"/>
      </w:pPr>
      <w:r>
        <w:rPr>
          <w:rFonts w:ascii="Times New Roman" w:hAnsi="Times New Roman"/>
          <w:sz w:val="24"/>
        </w:rPr>
        <w:t>5. **Assess Manufacturing Scale-Up Plans:** Evaluate CAPEX requirements, supply chain robustness, and timeline feasibility for 2025 commercial readiness.</w:t>
      </w:r>
    </w:p>
    <w:p>
      <w:pPr>
        <w:spacing w:line="360" w:lineRule="auto"/>
        <w:jc w:val="both"/>
      </w:pPr>
      <w:r>
        <w:rPr>
          <w:rFonts w:ascii="Times New Roman" w:hAnsi="Times New Roman"/>
          <w:sz w:val="24"/>
        </w:rPr>
        <w:t>6. **Monitor Competitive Developments:** Maintain vigilance on competing battery technologies’ progress, especially solid-state batteries, to reassess StoreDot’s relative positioning periodically.</w:t>
      </w:r>
    </w:p>
    <w:p>
      <w:pPr>
        <w:spacing w:line="360" w:lineRule="auto"/>
        <w:jc w:val="both"/>
      </w:pPr>
      <w:r>
        <w:rPr>
          <w:rFonts w:ascii="Times New Roman" w:hAnsi="Times New Roman"/>
          <w:sz w:val="24"/>
        </w:rPr>
        <w:t>7. **Prepare for Exit Scenarios:** Given the strategic nature of battery tech, consider acquisition by OEMs or IPO as potential exit routes within a 3-5 year horizon, contingent on technology and market validation.</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technological proposition with a strong IP moat and promising OEM partnerships, addressing a critical bottleneck in EV adoption. However, significant uncertainties remain around technical validation, financial health, commercialization readiness, and competitive dynamics. Investors should adopt a cautious, milestone-driven approach, emphasizing independent verification and commercial traction before scaling investment. If StoreDot can demonstrate credible performance and secure binding OEM agreements by 2025, it could become a valuable strategic asset in the EV battery ecosystem.</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