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323EC" w14:textId="77777777" w:rsidR="001A3A2E" w:rsidRDefault="001A3A2E" w:rsidP="00703322">
      <w:pPr>
        <w:spacing w:after="160" w:line="259" w:lineRule="auto"/>
        <w:rPr>
          <w:lang w:val="en-US"/>
        </w:rPr>
      </w:pPr>
    </w:p>
    <w:p w14:paraId="1B751821" w14:textId="77777777" w:rsidR="001A3A2E" w:rsidRDefault="001A3A2E" w:rsidP="001A3A2E">
      <w:pPr>
        <w:spacing w:after="160" w:line="259" w:lineRule="auto"/>
        <w:jc w:val="center"/>
        <w:rPr>
          <w:lang w:val="en-US"/>
        </w:rPr>
      </w:pPr>
    </w:p>
    <w:p w14:paraId="7B98CE46" w14:textId="77777777" w:rsidR="001A3A2E" w:rsidRDefault="001A3A2E" w:rsidP="00703322">
      <w:pPr>
        <w:spacing w:after="160" w:line="259" w:lineRule="auto"/>
        <w:rPr>
          <w:lang w:val="en-US"/>
        </w:rPr>
      </w:pPr>
    </w:p>
    <w:p w14:paraId="50293DBD" w14:textId="77777777" w:rsidR="001A3A2E" w:rsidRDefault="001A3A2E" w:rsidP="00830FE5">
      <w:pPr>
        <w:spacing w:after="160" w:line="259" w:lineRule="auto"/>
        <w:rPr>
          <w:lang w:val="en-US"/>
        </w:rPr>
      </w:pPr>
    </w:p>
    <w:p w14:paraId="7A63088A" w14:textId="77777777" w:rsidR="001A3A2E" w:rsidRDefault="001A3A2E" w:rsidP="001A3A2E">
      <w:pPr>
        <w:spacing w:after="160" w:line="259" w:lineRule="auto"/>
        <w:jc w:val="center"/>
        <w:rPr>
          <w:lang w:val="en-US"/>
        </w:rPr>
      </w:pPr>
    </w:p>
    <w:p w14:paraId="1DF7B2BD" w14:textId="20CC3704" w:rsidR="00703322" w:rsidRPr="00FE612B" w:rsidRDefault="001A3A2E" w:rsidP="00FE612B">
      <w:pPr>
        <w:spacing w:after="160" w:line="259" w:lineRule="auto"/>
        <w:jc w:val="center"/>
        <w:rPr>
          <w:lang w:val="en-US"/>
        </w:rPr>
      </w:pPr>
      <w:r>
        <w:rPr>
          <w:noProof/>
          <w:lang w:val="en-US"/>
        </w:rPr>
        <w:drawing>
          <wp:inline distT="0" distB="0" distL="0" distR="0" wp14:anchorId="68A91648" wp14:editId="6CFB4186">
            <wp:extent cx="2806224" cy="2244979"/>
            <wp:effectExtent l="0" t="0" r="635" b="3175"/>
            <wp:docPr id="13860246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024639" name="Picture 1386024639"/>
                    <pic:cNvPicPr/>
                  </pic:nvPicPr>
                  <pic:blipFill>
                    <a:blip r:embed="rId8">
                      <a:extLst>
                        <a:ext uri="{28A0092B-C50C-407E-A947-70E740481C1C}">
                          <a14:useLocalDpi xmlns:a14="http://schemas.microsoft.com/office/drawing/2010/main" val="0"/>
                        </a:ext>
                      </a:extLst>
                    </a:blip>
                    <a:stretch>
                      <a:fillRect/>
                    </a:stretch>
                  </pic:blipFill>
                  <pic:spPr>
                    <a:xfrm>
                      <a:off x="0" y="0"/>
                      <a:ext cx="2847359" cy="2277887"/>
                    </a:xfrm>
                    <a:prstGeom prst="rect">
                      <a:avLst/>
                    </a:prstGeom>
                  </pic:spPr>
                </pic:pic>
              </a:graphicData>
            </a:graphic>
          </wp:inline>
        </w:drawing>
      </w:r>
    </w:p>
    <w:p w14:paraId="24F1EBB9" w14:textId="77777777" w:rsidR="00703322" w:rsidRDefault="00703322" w:rsidP="00703322">
      <w:pPr>
        <w:spacing w:after="160" w:line="259" w:lineRule="auto"/>
        <w:rPr>
          <w:rFonts w:ascii="Menlo" w:hAnsi="Menlo" w:cs="Menlo"/>
          <w:color w:val="D8DEE9"/>
          <w:sz w:val="18"/>
          <w:szCs w:val="18"/>
        </w:rPr>
      </w:pPr>
    </w:p>
    <w:p w14:paraId="0F02A99A" w14:textId="7431425F" w:rsidR="00FE612B" w:rsidRPr="00FE612B" w:rsidRDefault="00702FCC" w:rsidP="00FE612B">
      <w:pPr>
        <w:spacing w:after="160" w:line="259" w:lineRule="auto"/>
        <w:jc w:val="center"/>
        <w:rPr>
          <w:rFonts w:ascii="Menlo" w:hAnsi="Menlo" w:cs="Menlo"/>
          <w:color w:val="D8DEE9"/>
          <w:sz w:val="18"/>
          <w:szCs w:val="18"/>
        </w:rPr>
      </w:pPr>
      <w:r>
        <w:rPr>
          <w:rFonts w:ascii="Times New Roman" w:hAnsi="Times New Roman"/>
          <w:b/>
          <w:sz w:val="44"/>
        </w:rPr>
        <w:t>This Investment Memo for StoreDot was Automatically Generated by the VC Intelligence System</w:t>
      </w:r>
    </w:p>
    <w:p>
      <w:pPr>
        <w:jc w:val="center"/>
      </w:pPr>
      <w:r>
        <w:rPr>
          <w:rFonts w:ascii="Times New Roman" w:hAnsi="Times New Roman"/>
          <w:sz w:val="28"/>
        </w:rPr>
        <w:t>Prepared on July 14, 2025 at 02:54 PM</w:t>
      </w:r>
    </w:p>
    <w:p w14:paraId="6089034A" w14:textId="77777777" w:rsidR="00FE612B" w:rsidRDefault="00FE612B" w:rsidP="00FE612B">
      <w:pPr>
        <w:spacing w:after="160" w:line="259" w:lineRule="auto"/>
        <w:rPr>
          <w:rFonts w:ascii="Menlo" w:hAnsi="Menlo" w:cs="Menlo"/>
          <w:color w:val="D8DEE9"/>
          <w:sz w:val="18"/>
          <w:szCs w:val="18"/>
        </w:rPr>
      </w:pPr>
    </w:p>
    <w:p w14:paraId="323EFF1E" w14:textId="77777777" w:rsidR="00FE612B" w:rsidRDefault="00FE612B" w:rsidP="00FE612B">
      <w:pPr>
        <w:spacing w:after="160" w:line="259" w:lineRule="auto"/>
        <w:rPr>
          <w:rFonts w:ascii="Menlo" w:hAnsi="Menlo" w:cs="Menlo"/>
          <w:color w:val="D8DEE9"/>
          <w:sz w:val="18"/>
          <w:szCs w:val="18"/>
        </w:rPr>
      </w:pPr>
    </w:p>
    <w:p w14:paraId="3AB824E7" w14:textId="77777777" w:rsidR="00FE612B" w:rsidRDefault="00FE612B" w:rsidP="00FE612B">
      <w:pPr>
        <w:spacing w:after="160" w:line="259" w:lineRule="auto"/>
        <w:rPr>
          <w:rFonts w:ascii="Menlo" w:hAnsi="Menlo" w:cs="Menlo"/>
          <w:color w:val="D8DEE9"/>
          <w:sz w:val="18"/>
          <w:szCs w:val="18"/>
        </w:rPr>
      </w:pPr>
    </w:p>
    <w:p w14:paraId="719BF33D" w14:textId="77777777" w:rsidR="00FE612B" w:rsidRDefault="00FE612B" w:rsidP="00FE612B">
      <w:pPr>
        <w:spacing w:after="160" w:line="259" w:lineRule="auto"/>
        <w:rPr>
          <w:rFonts w:ascii="Menlo" w:hAnsi="Menlo" w:cs="Menlo"/>
          <w:color w:val="D8DEE9"/>
          <w:sz w:val="18"/>
          <w:szCs w:val="18"/>
        </w:rPr>
      </w:pPr>
    </w:p>
    <w:p w14:paraId="5D0C0F54" w14:textId="77777777" w:rsidR="00FE612B" w:rsidRDefault="00FE612B" w:rsidP="00FE612B">
      <w:pPr>
        <w:spacing w:after="160" w:line="259" w:lineRule="auto"/>
        <w:rPr>
          <w:rFonts w:ascii="Menlo" w:hAnsi="Menlo" w:cs="Menlo"/>
          <w:color w:val="D8DEE9"/>
          <w:sz w:val="18"/>
          <w:szCs w:val="18"/>
        </w:rPr>
      </w:pPr>
    </w:p>
    <w:p w14:paraId="6279F519" w14:textId="77777777" w:rsidR="00FE612B" w:rsidRDefault="00FE612B" w:rsidP="00FE612B">
      <w:pPr>
        <w:spacing w:after="160" w:line="259" w:lineRule="auto"/>
        <w:rPr>
          <w:rFonts w:ascii="Menlo" w:hAnsi="Menlo" w:cs="Menlo"/>
          <w:color w:val="D8DEE9"/>
          <w:sz w:val="18"/>
          <w:szCs w:val="18"/>
        </w:rPr>
      </w:pPr>
    </w:p>
    <w:p w14:paraId="0E8097DD" w14:textId="77777777" w:rsidR="00FE612B" w:rsidRDefault="00FE612B" w:rsidP="00FE612B">
      <w:pPr>
        <w:spacing w:after="160" w:line="259" w:lineRule="auto"/>
        <w:rPr>
          <w:rFonts w:ascii="Menlo" w:hAnsi="Menlo" w:cs="Menlo"/>
          <w:color w:val="D8DEE9"/>
          <w:sz w:val="18"/>
          <w:szCs w:val="18"/>
        </w:rPr>
      </w:pPr>
    </w:p>
    <w:p w14:paraId="468DE0C0" w14:textId="77777777" w:rsidR="00FE612B" w:rsidRDefault="00FE612B" w:rsidP="00FE612B">
      <w:pPr>
        <w:spacing w:after="160" w:line="259" w:lineRule="auto"/>
        <w:rPr>
          <w:rFonts w:ascii="Menlo" w:hAnsi="Menlo" w:cs="Menlo"/>
          <w:color w:val="D8DEE9"/>
          <w:sz w:val="18"/>
          <w:szCs w:val="18"/>
        </w:rPr>
      </w:pPr>
    </w:p>
    <w:p w14:paraId="68736E9D" w14:textId="77777777" w:rsidR="00FE612B" w:rsidRDefault="00FE612B" w:rsidP="00FE612B">
      <w:pPr>
        <w:spacing w:after="160" w:line="259" w:lineRule="auto"/>
        <w:rPr>
          <w:rFonts w:ascii="Menlo" w:hAnsi="Menlo" w:cs="Menlo"/>
          <w:color w:val="D8DEE9"/>
          <w:sz w:val="18"/>
          <w:szCs w:val="18"/>
        </w:rPr>
      </w:pPr>
    </w:p>
    <w:p w14:paraId="2F3F6A37" w14:textId="77777777" w:rsidR="00FE612B" w:rsidRDefault="00FE612B" w:rsidP="00FE612B">
      <w:pPr>
        <w:spacing w:after="160" w:line="259" w:lineRule="auto"/>
        <w:rPr>
          <w:rFonts w:ascii="Menlo" w:hAnsi="Menlo" w:cs="Menlo"/>
          <w:color w:val="D8DEE9"/>
          <w:sz w:val="18"/>
          <w:szCs w:val="18"/>
        </w:rPr>
      </w:pPr>
    </w:p>
    <w:p w14:paraId="15EC4624" w14:textId="77777777" w:rsidR="001160E6" w:rsidRDefault="001160E6" w:rsidP="00FE612B">
      <w:pPr>
        <w:spacing w:after="160" w:line="259" w:lineRule="auto"/>
        <w:rPr>
          <w:rFonts w:ascii="Menlo" w:hAnsi="Menlo" w:cs="Menlo"/>
          <w:color w:val="D8DEE9"/>
          <w:sz w:val="18"/>
          <w:szCs w:val="18"/>
        </w:rPr>
      </w:pPr>
    </w:p>
    <w:p w14:paraId="1015C3F4" w14:textId="77777777" w:rsidR="00FE612B" w:rsidRDefault="00FE612B" w:rsidP="00FE612B">
      <w:pPr>
        <w:spacing w:after="160" w:line="259" w:lineRule="auto"/>
        <w:rPr>
          <w:rFonts w:ascii="Menlo" w:hAnsi="Menlo" w:cs="Menlo"/>
          <w:color w:val="D8DEE9"/>
          <w:sz w:val="18"/>
          <w:szCs w:val="18"/>
        </w:rPr>
      </w:pPr>
    </w:p>
    <w:p w14:paraId="7972B2B5" w14:textId="77777777" w:rsidR="00FE612B" w:rsidRDefault="00FE612B" w:rsidP="00FE612B">
      <w:pPr>
        <w:spacing w:after="160" w:line="259" w:lineRule="auto"/>
        <w:rPr>
          <w:rFonts w:ascii="Menlo" w:hAnsi="Menlo" w:cs="Menlo"/>
          <w:color w:val="D8DEE9"/>
          <w:sz w:val="18"/>
          <w:szCs w:val="18"/>
        </w:rPr>
      </w:pPr>
    </w:p>
    <w:p w14:paraId="77663F22" w14:textId="77777777" w:rsidR="001A0266" w:rsidRDefault="001A0266" w:rsidP="00FE612B">
      <w:pPr>
        <w:spacing w:after="160" w:line="259" w:lineRule="auto"/>
        <w:rPr>
          <w:rFonts w:ascii="Menlo" w:hAnsi="Menlo" w:cs="Menlo"/>
          <w:color w:val="D8DEE9"/>
          <w:sz w:val="18"/>
          <w:szCs w:val="18"/>
        </w:rPr>
      </w:pPr>
    </w:p>
    <w:p w14:paraId="432FD540" w14:textId="77777777" w:rsidR="00FE612B" w:rsidRDefault="00FE612B" w:rsidP="00FE612B">
      <w:pPr>
        <w:spacing w:after="160" w:line="259" w:lineRule="auto"/>
        <w:rPr>
          <w:rFonts w:ascii="Menlo" w:hAnsi="Menlo" w:cs="Menlo"/>
          <w:color w:val="D8DEE9"/>
          <w:sz w:val="18"/>
          <w:szCs w:val="18"/>
        </w:rPr>
      </w:pPr>
    </w:p>
    <w:p w14:paraId="23C0D29A" w14:textId="13DA1592" w:rsidR="00FE612B" w:rsidRDefault="00FE612B" w:rsidP="00FE612B">
      <w:pPr>
        <w:spacing w:after="160" w:line="360" w:lineRule="auto"/>
        <w:jc w:val="both"/>
        <w:rPr>
          <w:lang w:val="en-US"/>
        </w:rPr>
      </w:pPr>
      <w:r>
        <w:rPr>
          <w:rFonts w:ascii="Times New Roman" w:hAnsi="Times New Roman"/>
          <w:sz w:val="24"/>
        </w:rPr>
        <w:t>INVESTMENT MEMORANDUM – StoreDot</w:t>
      </w:r>
    </w:p>
    <w:p w14:paraId="3FD32F0D" w14:textId="77777777" w:rsidR="00FE612B" w:rsidRPr="00C802F8" w:rsidRDefault="00FE612B" w:rsidP="00C802F8">
      <w:pPr>
        <w:tabs>
          <w:tab w:val="left" w:pos="3060"/>
        </w:tabs>
        <w:rPr>
          <w:lang w:val="en-US"/>
        </w:rPr>
      </w:pPr>
    </w:p>
    <w:p>
      <w:pPr>
        <w:spacing w:after="0"/>
      </w:pPr>
    </w:p>
    <w:p>
      <w:pPr>
        <w:spacing w:line="360" w:lineRule="auto" w:after="120"/>
        <w:jc w:val="both"/>
      </w:pPr>
      <w:r>
        <w:rPr>
          <w:rFonts w:ascii="Times New Roman" w:hAnsi="Times New Roman"/>
          <w:b/>
          <w:sz w:val="24"/>
        </w:rPr>
        <w:t>1. DETAILED SUMMARY</w:t>
      </w:r>
    </w:p>
    <w:p>
      <w:pPr>
        <w:spacing w:line="360" w:lineRule="auto"/>
        <w:jc w:val="both"/>
      </w:pPr>
      <w:r>
        <w:rPr>
          <w:rFonts w:ascii="Times New Roman" w:hAnsi="Times New Roman"/>
          <w:sz w:val="24"/>
        </w:rPr>
        <w:t>============================================================</w:t>
      </w:r>
    </w:p>
    <w:p>
      <w:pPr>
        <w:spacing w:line="360" w:lineRule="auto"/>
        <w:jc w:val="both"/>
      </w:pPr>
      <w:r>
        <w:rPr>
          <w:rFonts w:ascii="Times New Roman" w:hAnsi="Times New Roman"/>
          <w:sz w:val="24"/>
        </w:rPr>
        <w:t>StoreDot, founded by Doron Myersdorf, is a deep-tech battery technology company focused on enabling mass EV adoption through extreme fast charging (XFC) batteries. Their proprietary silicon-dominant anode lithium-ion technology allows EVs to charge 100 miles in 5-10 minutes, a significant improvement over current solutions. The business model centers on licensing scalable, drop-in compatible battery tech to OEMs and manufacturing partners, with commercial readiness targeted for 2025. StoreDot's go-to-market strategy leverages partnerships with over 15 OEMs and a strong patent portfolio (78 granted US patents), positioning the company as a critical enabler for overcoming charging anxiety and infrastructure limitations.</w:t>
      </w:r>
    </w:p>
    <w:p>
      <w:pPr>
        <w:spacing w:after="0"/>
      </w:pPr>
    </w:p>
    <w:p>
      <w:pPr>
        <w:spacing w:line="360" w:lineRule="auto" w:after="120"/>
        <w:jc w:val="both"/>
      </w:pPr>
      <w:r>
        <w:rPr>
          <w:rFonts w:ascii="Times New Roman" w:hAnsi="Times New Roman"/>
          <w:b/>
          <w:sz w:val="24"/>
        </w:rPr>
        <w:t>2. COMPANY OVERVIEW</w:t>
      </w:r>
    </w:p>
    <w:p>
      <w:pPr>
        <w:spacing w:line="360" w:lineRule="auto"/>
        <w:jc w:val="both"/>
      </w:pPr>
      <w:r>
        <w:rPr>
          <w:rFonts w:ascii="Times New Roman" w:hAnsi="Times New Roman"/>
          <w:sz w:val="24"/>
        </w:rPr>
        <w:t>Company: StoreDot</w:t>
      </w:r>
    </w:p>
    <w:p>
      <w:pPr>
        <w:spacing w:line="360" w:lineRule="auto"/>
        <w:jc w:val="both"/>
      </w:pPr>
      <w:r>
        <w:rPr>
          <w:rFonts w:ascii="Times New Roman" w:hAnsi="Times New Roman"/>
          <w:sz w:val="24"/>
        </w:rPr>
        <w:t>Sector: Battery Technology</w:t>
      </w:r>
    </w:p>
    <w:p>
      <w:pPr>
        <w:spacing w:line="360" w:lineRule="auto"/>
        <w:jc w:val="both"/>
      </w:pPr>
      <w:r>
        <w:rPr>
          <w:rFonts w:ascii="Times New Roman" w:hAnsi="Times New Roman"/>
          <w:sz w:val="24"/>
        </w:rPr>
        <w:t>Website: The official website for the company 'StoreDot' is https://storedot.com</w:t>
      </w:r>
    </w:p>
    <w:p>
      <w:pPr>
        <w:spacing w:line="360" w:lineRule="auto"/>
        <w:jc w:val="both"/>
      </w:pPr>
      <w:r>
        <w:rPr>
          <w:rFonts w:ascii="Times New Roman" w:hAnsi="Times New Roman"/>
          <w:sz w:val="24"/>
        </w:rPr>
        <w:t>Funding Stage: Undisclosed (no public data found)</w:t>
      </w:r>
    </w:p>
    <w:p>
      <w:pPr>
        <w:spacing w:line="360" w:lineRule="auto"/>
        <w:jc w:val="both"/>
      </w:pPr>
      <w:r>
        <w:rPr>
          <w:rFonts w:ascii="Times New Roman" w:hAnsi="Times New Roman"/>
          <w:sz w:val="24"/>
        </w:rPr>
        <w:t>Team: Doron Myersdorf</w:t>
      </w:r>
    </w:p>
    <w:p>
      <w:pPr>
        <w:spacing w:after="0"/>
      </w:pPr>
    </w:p>
    <w:p>
      <w:pPr>
        <w:spacing w:line="360" w:lineRule="auto" w:after="120"/>
        <w:jc w:val="both"/>
      </w:pPr>
      <w:r>
        <w:rPr>
          <w:rFonts w:ascii="Times New Roman" w:hAnsi="Times New Roman"/>
          <w:b/>
          <w:sz w:val="24"/>
        </w:rPr>
        <w:t>3. PROBLEM STATEMENT</w:t>
      </w:r>
    </w:p>
    <w:p>
      <w:pPr>
        <w:spacing w:line="360" w:lineRule="auto"/>
        <w:jc w:val="both"/>
      </w:pPr>
      <w:r>
        <w:rPr>
          <w:rFonts w:ascii="Times New Roman" w:hAnsi="Times New Roman"/>
          <w:sz w:val="24"/>
        </w:rPr>
        <w:t>A major barrier to electric vehicle (EV) adoption is range anxiety—the fear that an EV cannot travel far enough on a single charge—and the inconvenience of slow charging speeds. Current lithium-ion batteries require long charging times, making EVs less practical for daily commutes and long-distance travel. This limits consumer confidence and slows the transition to sustainable transportation, despite growing demand for clean mobility solutions. Overcoming these challenges is essential for mass EV adoption and decarbonization.</w:t>
      </w:r>
    </w:p>
    <w:p>
      <w:pPr>
        <w:spacing w:after="0"/>
      </w:pPr>
    </w:p>
    <w:p>
      <w:pPr>
        <w:spacing w:line="360" w:lineRule="auto" w:after="120"/>
        <w:jc w:val="both"/>
      </w:pPr>
      <w:r>
        <w:rPr>
          <w:rFonts w:ascii="Times New Roman" w:hAnsi="Times New Roman"/>
          <w:b/>
          <w:sz w:val="24"/>
        </w:rPr>
        <w:t>4. SOLUTION OVERVIEW</w:t>
      </w:r>
    </w:p>
    <w:p>
      <w:pPr>
        <w:spacing w:line="360" w:lineRule="auto"/>
        <w:jc w:val="both"/>
      </w:pPr>
      <w:r>
        <w:rPr>
          <w:rFonts w:ascii="Times New Roman" w:hAnsi="Times New Roman"/>
          <w:sz w:val="24"/>
        </w:rPr>
        <w:t>StoreDot’s ultra-fast charging batteries leverage proprietary silicon-dominant anode technology to enable EVs to recharge 100 miles in 5-10 minutes. This breakthrough makes EVs as convenient as refueling conventional cars, directly addressing range anxiety and slow charging. The technology is compatible with existing lithium-ion manufacturing lines, allowing rapid industry adoption and scalability. By removing a key barrier to EV adoption, StoreDot positions itself at the forefront of battery innovation and the transition to clean mobility.</w:t>
      </w:r>
    </w:p>
    <w:p>
      <w:pPr>
        <w:spacing w:after="0"/>
      </w:pPr>
    </w:p>
    <w:p>
      <w:pPr>
        <w:spacing w:line="360" w:lineRule="auto" w:after="120"/>
        <w:jc w:val="both"/>
      </w:pPr>
      <w:r>
        <w:rPr>
          <w:rFonts w:ascii="Times New Roman" w:hAnsi="Times New Roman"/>
          <w:b/>
          <w:sz w:val="24"/>
        </w:rPr>
        <w:t>5. MARKET SIZE &amp; ANALYSIS</w:t>
      </w:r>
    </w:p>
    <w:p>
      <w:pPr>
        <w:spacing w:line="360" w:lineRule="auto"/>
        <w:jc w:val="both"/>
      </w:pPr>
      <w:r>
        <w:rPr>
          <w:rFonts w:ascii="Times New Roman" w:hAnsi="Times New Roman"/>
          <w:sz w:val="24"/>
        </w:rPr>
        <w:t>TAM $120 K, SAM $30 K, SOM $6 K; Market Penetration: 5.0 %</w:t>
      </w:r>
    </w:p>
    <w:p>
      <w:pPr>
        <w:spacing w:line="360" w:lineRule="auto"/>
        <w:jc w:val="both"/>
      </w:pPr>
      <w:r>
        <w:rPr>
          <w:rFonts w:ascii="Times New Roman" w:hAnsi="Times New Roman"/>
          <w:sz w:val="24"/>
        </w:rPr>
        <w:t>Source: Pitch deck</w:t>
      </w:r>
    </w:p>
    <w:p>
      <w:pPr>
        <w:spacing w:line="360" w:lineRule="auto"/>
        <w:jc w:val="both"/>
      </w:pPr>
      <w:r>
        <w:rPr>
          <w:rFonts w:ascii="Times New Roman" w:hAnsi="Times New Roman"/>
          <w:sz w:val="24"/>
        </w:rPr>
        <w:t>Discussion: The market is growing rapidly, but faces challenges such as regulatory hurdles, technology adoption, and competition. Key opportunities include first-mover advantage, partnerships, and addressing unmet needs. (Market size is based on company materials; independent verification recommended.)</w:t>
      </w:r>
    </w:p>
    <w:p>
      <w:pPr>
        <w:spacing w:line="360" w:lineRule="auto"/>
        <w:jc w:val="both"/>
      </w:pPr>
      <w:r>
        <w:rPr>
          <w:rFonts w:ascii="Times New Roman" w:hAnsi="Times New Roman"/>
          <w:sz w:val="24"/>
        </w:rPr>
        <w:t>Battery Technology</w:t>
      </w:r>
    </w:p>
    <w:p>
      <w:pPr>
        <w:spacing w:after="0"/>
      </w:pPr>
    </w:p>
    <w:p>
      <w:pPr>
        <w:spacing w:line="360" w:lineRule="auto" w:after="120"/>
        <w:jc w:val="both"/>
      </w:pPr>
      <w:r>
        <w:rPr>
          <w:rFonts w:ascii="Times New Roman" w:hAnsi="Times New Roman"/>
          <w:b/>
          <w:sz w:val="24"/>
        </w:rPr>
        <w:t>6. COMPETITIVE LANDSCAPE</w:t>
      </w:r>
    </w:p>
    <w:p>
      <w:pPr>
        <w:spacing w:line="360" w:lineRule="auto"/>
        <w:jc w:val="both"/>
      </w:pPr>
      <w:r>
        <w:rPr>
          <w:rFonts w:ascii="Times New Roman" w:hAnsi="Times New Roman"/>
          <w:sz w:val="24"/>
        </w:rPr>
        <w:t>• QuantumScape: Developing solid-state lithium-metal batteries with higher energy density and faster charging capabilities.</w:t>
      </w:r>
    </w:p>
    <w:p>
      <w:pPr>
        <w:spacing w:line="360" w:lineRule="auto"/>
        <w:jc w:val="both"/>
      </w:pPr>
      <w:r>
        <w:rPr>
          <w:rFonts w:ascii="Times New Roman" w:hAnsi="Times New Roman"/>
          <w:sz w:val="24"/>
        </w:rPr>
        <w:t>• Sila Nanotechnologies: Innovating silicon-dominant anode materials to significantly increase battery energy density and performance.</w:t>
      </w:r>
    </w:p>
    <w:p>
      <w:pPr>
        <w:spacing w:line="360" w:lineRule="auto"/>
        <w:jc w:val="both"/>
      </w:pPr>
      <w:r>
        <w:rPr>
          <w:rFonts w:ascii="Times New Roman" w:hAnsi="Times New Roman"/>
          <w:sz w:val="24"/>
        </w:rPr>
        <w:t>• Solid Power: Focused on all-solid-state batteries using sulfide-based electrolytes aimed at automotive applications.</w:t>
      </w:r>
    </w:p>
    <w:p>
      <w:pPr>
        <w:spacing w:after="0"/>
      </w:pPr>
    </w:p>
    <w:p>
      <w:pPr>
        <w:spacing w:line="360" w:lineRule="auto" w:after="120"/>
        <w:jc w:val="both"/>
      </w:pPr>
      <w:r>
        <w:rPr>
          <w:rFonts w:ascii="Times New Roman" w:hAnsi="Times New Roman"/>
          <w:b/>
          <w:sz w:val="24"/>
        </w:rPr>
        <w:t>7. BUSINESS MODEL</w:t>
      </w:r>
    </w:p>
    <w:p>
      <w:pPr>
        <w:spacing w:line="360" w:lineRule="auto"/>
        <w:jc w:val="both"/>
      </w:pPr>
      <w:r>
        <w:rPr>
          <w:rFonts w:ascii="Times New Roman" w:hAnsi="Times New Roman"/>
          <w:sz w:val="24"/>
        </w:rPr>
        <w:t>StoreDot is developing extreme fast charging (XFC) battery technology aimed at accelerating electric vehicle (EV) mass adoption by drastically reducing charging times to about 10 minutes for 100 miles of range. Their business model centers on licensing their scalable, silicon-dominant anode lithium-ion battery technology, which is compatible with existing manufacturing lines, to OEMs and battery manufacturers globally. Key revenue streams likely include licensing fees, partnerships with EV OEMs, and potential joint ventures for production scale-up. Their primary customer segments are EV manufacturers and battery producers seeking to overcome charging speed limitations and consumer "charging anxiety." StoreDot’s go-to-market strategy involves ongoing testing and validation with over 15 OEMs, aiming for commercial readiness by 2025, positioning themselves ahead of competing technologies like solid-state batteries that are not expected to mature until after 2028. The technology’s compatibility with current production infrastructure and strong patent portfolio support scalability and cost competitiveness. No recent pivots were indicated; the company remains focused on delivering XFC batteries aligned with industry timelines.</w:t>
      </w:r>
    </w:p>
    <w:p>
      <w:pPr>
        <w:spacing w:line="360" w:lineRule="auto"/>
        <w:jc w:val="both"/>
      </w:pPr>
      <w:r>
        <w:rPr>
          <w:rFonts w:ascii="Times New Roman" w:hAnsi="Times New Roman"/>
          <w:sz w:val="24"/>
        </w:rPr>
        <w:t>Sources: StoreDot April 2023 corporate overview; UBS Global Electric Vehicle Battery Makers report (cited in materials).</w:t>
      </w:r>
    </w:p>
    <w:p>
      <w:pPr>
        <w:spacing w:after="0"/>
      </w:pPr>
    </w:p>
    <w:p>
      <w:pPr>
        <w:spacing w:line="360" w:lineRule="auto" w:after="120"/>
        <w:jc w:val="both"/>
      </w:pPr>
      <w:r>
        <w:rPr>
          <w:rFonts w:ascii="Times New Roman" w:hAnsi="Times New Roman"/>
          <w:b/>
          <w:sz w:val="24"/>
        </w:rPr>
        <w:t>8. TECHNICAL DUE DILIGENCE</w:t>
      </w:r>
    </w:p>
    <w:p>
      <w:pPr>
        <w:spacing w:line="360" w:lineRule="auto"/>
        <w:jc w:val="both"/>
      </w:pPr>
      <w:r>
        <w:rPr>
          <w:rFonts w:ascii="Times New Roman" w:hAnsi="Times New Roman"/>
          <w:sz w:val="24"/>
        </w:rPr>
        <w:t>Technical Feasibility and Performance: production. Moat: StoreDot has a 3-5 years' lead on alternative solutions and a strong patent portfolio.</w:t>
      </w:r>
    </w:p>
    <w:p>
      <w:pPr>
        <w:spacing w:line="360" w:lineRule="auto"/>
        <w:jc w:val="both"/>
      </w:pPr>
      <w:r>
        <w:rPr>
          <w:rFonts w:ascii="Times New Roman" w:hAnsi="Times New Roman"/>
          <w:sz w:val="24"/>
        </w:rPr>
        <w:t>Complexity: Not specified.</w:t>
      </w:r>
    </w:p>
    <w:p>
      <w:pPr>
        <w:spacing w:line="360" w:lineRule="auto"/>
        <w:jc w:val="both"/>
      </w:pPr>
      <w:r>
        <w:rPr>
          <w:rFonts w:ascii="Times New Roman" w:hAnsi="Times New Roman"/>
          <w:sz w:val="24"/>
        </w:rPr>
        <w:t>Security: Product safety, data, and IP protection should be addressed.</w:t>
      </w:r>
    </w:p>
    <w:p>
      <w:pPr>
        <w:spacing w:line="360" w:lineRule="auto"/>
        <w:jc w:val="both"/>
      </w:pPr>
      <w:r>
        <w:rPr>
          <w:rFonts w:ascii="Times New Roman" w:hAnsi="Times New Roman"/>
          <w:sz w:val="24"/>
        </w:rPr>
        <w:t>Implementation: Implementation details not specified.</w:t>
      </w:r>
    </w:p>
    <w:p>
      <w:pPr>
        <w:spacing w:line="360" w:lineRule="auto"/>
        <w:jc w:val="both"/>
      </w:pPr>
      <w:r>
        <w:rPr>
          <w:rFonts w:ascii="Times New Roman" w:hAnsi="Times New Roman"/>
          <w:sz w:val="24"/>
        </w:rPr>
        <w:t>Assumption Risks: Assumption risks not specified.</w:t>
      </w:r>
    </w:p>
    <w:p>
      <w:pPr>
        <w:spacing w:line="360" w:lineRule="auto"/>
        <w:jc w:val="both"/>
      </w:pPr>
      <w:r>
        <w:rPr>
          <w:rFonts w:ascii="Times New Roman" w:hAnsi="Times New Roman"/>
          <w:sz w:val="24"/>
        </w:rPr>
        <w:t>Regulatory: Compliance with industry standards and certifications is required.</w:t>
      </w:r>
    </w:p>
    <w:p>
      <w:pPr>
        <w:spacing w:line="360" w:lineRule="auto"/>
        <w:jc w:val="both"/>
      </w:pPr>
      <w:r>
        <w:rPr>
          <w:rFonts w:ascii="Times New Roman" w:hAnsi="Times New Roman"/>
          <w:sz w:val="24"/>
        </w:rPr>
        <w:t>Testing: Independent validation and certification are recommended.</w:t>
      </w:r>
    </w:p>
    <w:p>
      <w:pPr>
        <w:spacing w:line="360" w:lineRule="auto"/>
        <w:jc w:val="both"/>
      </w:pPr>
      <w:r>
        <w:rPr>
          <w:rFonts w:ascii="Times New Roman" w:hAnsi="Times New Roman"/>
          <w:sz w:val="24"/>
        </w:rPr>
        <w:t>Further technical due diligence is required, including independent validation of performance claims, cycle life, and safety.</w:t>
      </w:r>
    </w:p>
    <w:p>
      <w:pPr>
        <w:spacing w:after="0"/>
      </w:pPr>
    </w:p>
    <w:p>
      <w:pPr>
        <w:spacing w:line="360" w:lineRule="auto" w:after="120"/>
        <w:jc w:val="both"/>
      </w:pPr>
      <w:r>
        <w:rPr>
          <w:rFonts w:ascii="Times New Roman" w:hAnsi="Times New Roman"/>
          <w:b/>
          <w:sz w:val="24"/>
        </w:rPr>
        <w:t>9. PRODUCT DESCRIPTION</w:t>
      </w:r>
    </w:p>
    <w:p>
      <w:pPr>
        <w:spacing w:line="360" w:lineRule="auto"/>
        <w:jc w:val="both"/>
      </w:pPr>
      <w:r>
        <w:rPr>
          <w:rFonts w:ascii="Times New Roman" w:hAnsi="Times New Roman"/>
          <w:sz w:val="24"/>
        </w:rPr>
        <w:t>StoreDot has a 3-5 years' lead on alternative solutions and a strong patent portfolio</w:t>
      </w:r>
    </w:p>
    <w:p>
      <w:pPr>
        <w:spacing w:after="0"/>
      </w:pPr>
    </w:p>
    <w:p>
      <w:pPr>
        <w:spacing w:line="360" w:lineRule="auto" w:after="120"/>
        <w:jc w:val="both"/>
      </w:pPr>
      <w:r>
        <w:rPr>
          <w:rFonts w:ascii="Times New Roman" w:hAnsi="Times New Roman"/>
          <w:b/>
          <w:sz w:val="24"/>
        </w:rPr>
        <w:t>10. FINANCIAL ANALYSIS</w:t>
      </w:r>
    </w:p>
    <w:p>
      <w:pPr>
        <w:spacing w:line="360" w:lineRule="auto"/>
        <w:jc w:val="both"/>
      </w:pPr>
      <w:r>
        <w:rPr>
          <w:rFonts w:ascii="Times New Roman" w:hAnsi="Times New Roman"/>
          <w:sz w:val="24"/>
        </w:rPr>
        <w:t>Company has not released financials as of July 14, 2025.</w:t>
      </w:r>
    </w:p>
    <w:p>
      <w:pPr>
        <w:spacing w:line="360" w:lineRule="auto"/>
        <w:jc w:val="both"/>
      </w:pPr>
      <w:r>
        <w:rPr>
          <w:rFonts w:ascii="Times New Roman" w:hAnsi="Times New Roman"/>
          <w:sz w:val="24"/>
        </w:rPr>
        <w:t>Potential Annual Revenue (if full SOM captured): $600 M (Assumes ASP $100,000)</w:t>
      </w:r>
    </w:p>
    <w:p>
      <w:pPr>
        <w:spacing w:line="360" w:lineRule="auto"/>
        <w:jc w:val="both"/>
      </w:pPr>
      <w:r>
        <w:rPr>
          <w:rFonts w:ascii="Times New Roman" w:hAnsi="Times New Roman"/>
          <w:sz w:val="24"/>
        </w:rPr>
        <w:t>Potential Valuation (8x revenue): $5 B</w:t>
      </w:r>
    </w:p>
    <w:p>
      <w:pPr>
        <w:spacing w:after="0"/>
      </w:pPr>
    </w:p>
    <w:p>
      <w:pPr>
        <w:spacing w:line="360" w:lineRule="auto" w:after="120"/>
        <w:jc w:val="both"/>
      </w:pPr>
      <w:r>
        <w:rPr>
          <w:rFonts w:ascii="Times New Roman" w:hAnsi="Times New Roman"/>
          <w:b/>
          <w:sz w:val="24"/>
        </w:rPr>
        <w:t>11. TEAM &amp; MANAGEMENT</w:t>
      </w:r>
    </w:p>
    <w:p>
      <w:pPr>
        <w:spacing w:line="360" w:lineRule="auto"/>
        <w:jc w:val="both"/>
      </w:pPr>
      <w:r>
        <w:rPr>
          <w:rFonts w:ascii="Times New Roman" w:hAnsi="Times New Roman"/>
          <w:sz w:val="24"/>
        </w:rPr>
        <w:t>Founder: Doron Myersdorf</w:t>
      </w:r>
    </w:p>
    <w:p>
      <w:pPr>
        <w:spacing w:line="360" w:lineRule="auto"/>
        <w:jc w:val="both"/>
      </w:pPr>
      <w:r>
        <w:rPr>
          <w:rFonts w:ascii="Times New Roman" w:hAnsi="Times New Roman"/>
          <w:sz w:val="24"/>
        </w:rPr>
        <w:t>Prior Exits: 2</w:t>
      </w:r>
    </w:p>
    <w:p>
      <w:pPr>
        <w:spacing w:after="0"/>
      </w:pPr>
    </w:p>
    <w:p>
      <w:pPr>
        <w:spacing w:line="360" w:lineRule="auto" w:after="120"/>
        <w:jc w:val="both"/>
      </w:pPr>
      <w:r>
        <w:rPr>
          <w:rFonts w:ascii="Times New Roman" w:hAnsi="Times New Roman"/>
          <w:b/>
          <w:sz w:val="24"/>
        </w:rPr>
        <w:t>12. ESG CONSIDERATIONS</w:t>
      </w:r>
    </w:p>
    <w:p>
      <w:pPr>
        <w:spacing w:line="360" w:lineRule="auto"/>
        <w:jc w:val="both"/>
      </w:pPr>
      <w:r>
        <w:rPr>
          <w:rFonts w:ascii="Times New Roman" w:hAnsi="Times New Roman"/>
          <w:sz w:val="24"/>
        </w:rPr>
        <w:t>StoreDot is an advanced battery technology startup focused on enabling extreme fast charging (XFC) for electric vehicles (EVs), aiming to address key barriers to EV adoption such as charging speed and infrastructure limitations. Their technology promises charging times as low as 10 minutes with no degradation over 1200 cycles, leveraging scalable, lithium-ion compatible chemistry with reduced cobalt content, which supports sustainability by potentially lowering reliance on conflict minerals. The company’s leadership and advisory board include seasoned experts from automotive and battery industries, indicating strong governance and industry alignment. While StoreDot emphasizes a sustainable production approach and compatibility with existing manufacturing, detailed disclosures on social impact (e.g., labor practices, community engagement) and comprehensive ESG policies are not provided in the available materials. No recent ESG controversies or news were identified in the provided context. Further information on regulatory compliance, supply chain transparency, and social governance would be needed for a fuller ESG assessment.</w:t>
      </w:r>
    </w:p>
    <w:p>
      <w:pPr>
        <w:spacing w:after="0"/>
      </w:pPr>
    </w:p>
    <w:p>
      <w:pPr>
        <w:spacing w:line="360" w:lineRule="auto" w:after="120"/>
        <w:jc w:val="both"/>
      </w:pPr>
      <w:r>
        <w:rPr>
          <w:rFonts w:ascii="Times New Roman" w:hAnsi="Times New Roman"/>
          <w:b/>
          <w:sz w:val="24"/>
        </w:rPr>
        <w:t>13. RISKS &amp; MITIGATIONS</w:t>
      </w:r>
    </w:p>
    <w:p>
      <w:pPr>
        <w:spacing w:line="360" w:lineRule="auto"/>
        <w:jc w:val="both"/>
      </w:pPr>
      <w:r>
        <w:rPr>
          <w:rFonts w:ascii="Times New Roman" w:hAnsi="Times New Roman"/>
          <w:sz w:val="24"/>
        </w:rPr>
        <w:t>• Limited financial data</w:t>
      </w:r>
    </w:p>
    <w:p>
      <w:pPr>
        <w:spacing w:line="360" w:lineRule="auto"/>
        <w:jc w:val="both"/>
      </w:pPr>
      <w:r>
        <w:rPr>
          <w:rFonts w:ascii="Times New Roman" w:hAnsi="Times New Roman"/>
          <w:sz w:val="24"/>
        </w:rPr>
        <w:t>• Unknown funding stage</w:t>
      </w:r>
    </w:p>
    <w:p>
      <w:pPr>
        <w:spacing w:line="360" w:lineRule="auto"/>
        <w:jc w:val="both"/>
      </w:pPr>
      <w:r>
        <w:rPr>
          <w:rFonts w:ascii="Times New Roman" w:hAnsi="Times New Roman"/>
          <w:sz w:val="24"/>
        </w:rPr>
        <w:t>• Market competition</w:t>
      </w:r>
    </w:p>
    <w:p>
      <w:pPr>
        <w:spacing w:line="360" w:lineRule="auto"/>
        <w:jc w:val="both"/>
      </w:pPr>
      <w:r>
        <w:rPr>
          <w:rFonts w:ascii="Times New Roman" w:hAnsi="Times New Roman"/>
          <w:sz w:val="24"/>
        </w:rPr>
        <w:t>• Regulatory risks</w:t>
      </w:r>
    </w:p>
    <w:p>
      <w:pPr>
        <w:spacing w:line="360" w:lineRule="auto"/>
        <w:jc w:val="both"/>
      </w:pPr>
      <w:r>
        <w:rPr>
          <w:rFonts w:ascii="Times New Roman" w:hAnsi="Times New Roman"/>
          <w:sz w:val="24"/>
        </w:rPr>
        <w:t>• Market timing</w:t>
      </w:r>
    </w:p>
    <w:p>
      <w:pPr>
        <w:spacing w:line="360" w:lineRule="auto"/>
        <w:jc w:val="both"/>
      </w:pPr>
      <w:r>
        <w:rPr>
          <w:rFonts w:ascii="Times New Roman" w:hAnsi="Times New Roman"/>
          <w:sz w:val="24"/>
        </w:rPr>
        <w:t>• Regulatory: Compliance with evolving standards and certifications is required.</w:t>
      </w:r>
    </w:p>
    <w:p>
      <w:pPr>
        <w:spacing w:line="360" w:lineRule="auto"/>
        <w:jc w:val="both"/>
      </w:pPr>
      <w:r>
        <w:rPr>
          <w:rFonts w:ascii="Times New Roman" w:hAnsi="Times New Roman"/>
          <w:sz w:val="24"/>
        </w:rPr>
        <w:t>• Testing: Independent validation and certification are recommended.</w:t>
      </w:r>
    </w:p>
    <w:p>
      <w:pPr>
        <w:spacing w:line="360" w:lineRule="auto"/>
        <w:jc w:val="both"/>
      </w:pPr>
      <w:r>
        <w:rPr>
          <w:rFonts w:ascii="Times New Roman" w:hAnsi="Times New Roman"/>
          <w:sz w:val="24"/>
        </w:rPr>
        <w:t>• Security: Product safety, data, and IP protection should be addressed.</w:t>
      </w:r>
    </w:p>
    <w:p>
      <w:pPr>
        <w:spacing w:after="0"/>
      </w:pPr>
    </w:p>
    <w:p>
      <w:pPr>
        <w:spacing w:line="360" w:lineRule="auto" w:after="120"/>
        <w:jc w:val="both"/>
      </w:pPr>
      <w:r>
        <w:rPr>
          <w:rFonts w:ascii="Times New Roman" w:hAnsi="Times New Roman"/>
          <w:b/>
          <w:sz w:val="24"/>
        </w:rPr>
        <w:t>14. INVESTMENT &amp; EXIT STRATEGIES</w:t>
      </w:r>
    </w:p>
    <w:p>
      <w:pPr>
        <w:spacing w:line="360" w:lineRule="auto"/>
        <w:jc w:val="both"/>
      </w:pPr>
      <w:r>
        <w:rPr>
          <w:rFonts w:ascii="Times New Roman" w:hAnsi="Times New Roman"/>
          <w:sz w:val="24"/>
        </w:rPr>
        <w:t>Based on the information provided, StoreDot's extreme fast charging battery technology seems to have a promising future in the EV industry. Potential exit scenarios could include acquisition by major EV manufacturers looking to enhance their charging capabilities, or an IPO if StoreDot continues to lead in the market. Recommended exit strategies could involve strategic partnerships with key players in the EV ecosystem to accelerate growth and increase valuation. However, more data on financials, market traction, and competition would be needed to provide a more detailed analysis.</w:t>
      </w:r>
    </w:p>
    <w:p>
      <w:pPr>
        <w:spacing w:after="0"/>
      </w:pPr>
    </w:p>
    <w:p>
      <w:pPr>
        <w:spacing w:line="360" w:lineRule="auto" w:after="120"/>
        <w:jc w:val="both"/>
      </w:pPr>
      <w:r>
        <w:rPr>
          <w:rFonts w:ascii="Times New Roman" w:hAnsi="Times New Roman"/>
          <w:b/>
          <w:sz w:val="24"/>
        </w:rPr>
        <w:t>15. FOLLOW-UP QUESTIONS &amp; NEXT STEPS</w:t>
      </w:r>
    </w:p>
    <w:p>
      <w:pPr>
        <w:spacing w:line="360" w:lineRule="auto"/>
        <w:jc w:val="both"/>
      </w:pPr>
      <w:r>
        <w:rPr>
          <w:rFonts w:ascii="Times New Roman" w:hAnsi="Times New Roman"/>
          <w:sz w:val="24"/>
        </w:rPr>
        <w:t>• **Technology Validation &amp; IP**</w:t>
      </w:r>
    </w:p>
    <w:p>
      <w:pPr>
        <w:spacing w:line="360" w:lineRule="auto"/>
        <w:jc w:val="both"/>
      </w:pPr>
      <w:r>
        <w:rPr>
          <w:rFonts w:ascii="Times New Roman" w:hAnsi="Times New Roman"/>
          <w:sz w:val="24"/>
        </w:rPr>
        <w:t>• Request detailed third-party test reports validating the 10-minute charging claim and &gt;1200 cycle life under extreme fast charging conditions.</w:t>
      </w:r>
    </w:p>
    <w:p>
      <w:pPr>
        <w:spacing w:line="360" w:lineRule="auto"/>
        <w:jc w:val="both"/>
      </w:pPr>
      <w:r>
        <w:rPr>
          <w:rFonts w:ascii="Times New Roman" w:hAnsi="Times New Roman"/>
          <w:sz w:val="24"/>
        </w:rPr>
        <w:t>• Clarify the scope and geographic coverage of the 78 granted and 22 pending patents; assess potential IP risks or overlaps.</w:t>
      </w:r>
    </w:p>
    <w:p>
      <w:pPr>
        <w:spacing w:line="360" w:lineRule="auto"/>
        <w:jc w:val="both"/>
      </w:pPr>
      <w:r>
        <w:rPr>
          <w:rFonts w:ascii="Times New Roman" w:hAnsi="Times New Roman"/>
          <w:sz w:val="24"/>
        </w:rPr>
        <w:t>• Understand any dependencies on proprietary materials or rare elements that could impact scalability or cost.</w:t>
      </w:r>
    </w:p>
    <w:p>
      <w:pPr>
        <w:spacing w:line="360" w:lineRule="auto"/>
        <w:jc w:val="both"/>
      </w:pPr>
      <w:r>
        <w:rPr>
          <w:rFonts w:ascii="Times New Roman" w:hAnsi="Times New Roman"/>
          <w:sz w:val="24"/>
        </w:rPr>
        <w:t>• **OEM &amp; Manufacturing Partnerships**</w:t>
      </w:r>
    </w:p>
    <w:p>
      <w:pPr>
        <w:spacing w:line="360" w:lineRule="auto"/>
        <w:jc w:val="both"/>
      </w:pPr>
      <w:r>
        <w:rPr>
          <w:rFonts w:ascii="Times New Roman" w:hAnsi="Times New Roman"/>
          <w:sz w:val="24"/>
        </w:rPr>
        <w:t>• Obtain a list of the &gt;15 OEMs and manufacturing partners currently testing the technology, including stage of engagement and feedback.</w:t>
      </w:r>
    </w:p>
    <w:p>
      <w:pPr>
        <w:spacing w:line="360" w:lineRule="auto"/>
        <w:jc w:val="both"/>
      </w:pPr>
      <w:r>
        <w:rPr>
          <w:rFonts w:ascii="Times New Roman" w:hAnsi="Times New Roman"/>
          <w:sz w:val="24"/>
        </w:rPr>
        <w:t>• Confirm commitments or LOIs from OEMs for commercial adoption in 2025.</w:t>
      </w:r>
    </w:p>
    <w:p>
      <w:pPr>
        <w:spacing w:line="360" w:lineRule="auto"/>
        <w:jc w:val="both"/>
      </w:pPr>
      <w:r>
        <w:rPr>
          <w:rFonts w:ascii="Times New Roman" w:hAnsi="Times New Roman"/>
          <w:sz w:val="24"/>
        </w:rPr>
        <w:t>• Assess manufacturing readiness: capacity, timelines, and risks related to scaling production on standard Li-ion lines.</w:t>
      </w:r>
    </w:p>
    <w:p>
      <w:pPr>
        <w:spacing w:line="360" w:lineRule="auto"/>
        <w:jc w:val="both"/>
      </w:pPr>
      <w:r>
        <w:rPr>
          <w:rFonts w:ascii="Times New Roman" w:hAnsi="Times New Roman"/>
          <w:sz w:val="24"/>
        </w:rPr>
        <w:t>• **Technology Roadmap &amp; Competitive Landscape**</w:t>
      </w:r>
    </w:p>
    <w:p>
      <w:pPr>
        <w:spacing w:line="360" w:lineRule="auto"/>
        <w:jc w:val="both"/>
      </w:pPr>
      <w:r>
        <w:rPr>
          <w:rFonts w:ascii="Times New Roman" w:hAnsi="Times New Roman"/>
          <w:sz w:val="24"/>
        </w:rPr>
        <w:t>• Request more granular details on the 2028 semi-solid and 2032 post-lithium battery plans, including technical milestones and go-to-market strategy.</w:t>
      </w:r>
    </w:p>
    <w:p>
      <w:pPr>
        <w:spacing w:line="360" w:lineRule="auto"/>
        <w:jc w:val="both"/>
      </w:pPr>
      <w:r>
        <w:rPr>
          <w:rFonts w:ascii="Times New Roman" w:hAnsi="Times New Roman"/>
          <w:sz w:val="24"/>
        </w:rPr>
        <w:t>• Benchmark StoreDot’s technology against emerging competitors (solid-state, silicon anode, etc.) with independent expert analysis.</w:t>
      </w:r>
    </w:p>
    <w:p>
      <w:pPr>
        <w:spacing w:line="360" w:lineRule="auto"/>
        <w:jc w:val="both"/>
      </w:pPr>
      <w:r>
        <w:rPr>
          <w:rFonts w:ascii="Times New Roman" w:hAnsi="Times New Roman"/>
          <w:sz w:val="24"/>
        </w:rPr>
        <w:t>• Clarify cost structure assumptions and expected cost per kWh at scale compared to incumbent Li-ion batteries.</w:t>
      </w:r>
    </w:p>
    <w:p>
      <w:pPr>
        <w:spacing w:line="360" w:lineRule="auto"/>
        <w:jc w:val="both"/>
      </w:pPr>
      <w:r>
        <w:rPr>
          <w:rFonts w:ascii="Times New Roman" w:hAnsi="Times New Roman"/>
          <w:sz w:val="24"/>
        </w:rPr>
        <w:t>• **Market &amp; Commercialization**</w:t>
      </w:r>
    </w:p>
    <w:p>
      <w:pPr>
        <w:spacing w:line="360" w:lineRule="auto"/>
        <w:jc w:val="both"/>
      </w:pPr>
      <w:r>
        <w:rPr>
          <w:rFonts w:ascii="Times New Roman" w:hAnsi="Times New Roman"/>
          <w:sz w:val="24"/>
        </w:rPr>
        <w:t>• Validate market adoption assumptions, especially the &gt;60% BEV penetration by 2030 in US/EU/China, and how StoreDot’s tech fits into OEMs’ EV roadmaps.</w:t>
      </w:r>
    </w:p>
    <w:p>
      <w:pPr>
        <w:spacing w:line="360" w:lineRule="auto"/>
        <w:jc w:val="both"/>
      </w:pPr>
      <w:r>
        <w:rPr>
          <w:rFonts w:ascii="Times New Roman" w:hAnsi="Times New Roman"/>
          <w:sz w:val="24"/>
        </w:rPr>
        <w:t>• Understand the company’s licensing model details, pricing, and revenue projections.</w:t>
      </w:r>
    </w:p>
    <w:p>
      <w:pPr>
        <w:spacing w:line="360" w:lineRule="auto"/>
        <w:jc w:val="both"/>
      </w:pPr>
      <w:r>
        <w:rPr>
          <w:rFonts w:ascii="Times New Roman" w:hAnsi="Times New Roman"/>
          <w:sz w:val="24"/>
        </w:rPr>
        <w:t>• Explore potential regulatory or standardization hurdles related to charging connectors and infrastructure compatibility.</w:t>
      </w:r>
    </w:p>
    <w:p>
      <w:pPr>
        <w:spacing w:line="360" w:lineRule="auto"/>
        <w:jc w:val="both"/>
      </w:pPr>
      <w:r>
        <w:rPr>
          <w:rFonts w:ascii="Times New Roman" w:hAnsi="Times New Roman"/>
          <w:sz w:val="24"/>
        </w:rPr>
        <w:t>• **Financials &amp; Funding**</w:t>
      </w:r>
    </w:p>
    <w:p>
      <w:pPr>
        <w:spacing w:line="360" w:lineRule="auto"/>
        <w:jc w:val="both"/>
      </w:pPr>
      <w:r>
        <w:rPr>
          <w:rFonts w:ascii="Times New Roman" w:hAnsi="Times New Roman"/>
          <w:sz w:val="24"/>
        </w:rPr>
        <w:t>• Request current financials, burn rate, and runway.</w:t>
      </w:r>
    </w:p>
    <w:p>
      <w:pPr>
        <w:spacing w:line="360" w:lineRule="auto"/>
        <w:jc w:val="both"/>
      </w:pPr>
      <w:r>
        <w:rPr>
          <w:rFonts w:ascii="Times New Roman" w:hAnsi="Times New Roman"/>
          <w:sz w:val="24"/>
        </w:rPr>
        <w:t>• Clarify funding needs and planned use of proceeds leading up to 2025 commercial readiness.</w:t>
      </w:r>
    </w:p>
    <w:p>
      <w:pPr>
        <w:spacing w:line="360" w:lineRule="auto"/>
        <w:jc w:val="both"/>
      </w:pPr>
      <w:r>
        <w:rPr>
          <w:rFonts w:ascii="Times New Roman" w:hAnsi="Times New Roman"/>
          <w:sz w:val="24"/>
        </w:rPr>
        <w:t>• Assess exit opportunities and potential acquirers or strategic partners.</w:t>
      </w:r>
    </w:p>
    <w:p>
      <w:pPr>
        <w:spacing w:line="360" w:lineRule="auto"/>
        <w:jc w:val="both"/>
      </w:pPr>
      <w:r>
        <w:rPr>
          <w:rFonts w:ascii="Times New Roman" w:hAnsi="Times New Roman"/>
          <w:sz w:val="24"/>
        </w:rPr>
        <w:t>• **Team &amp; Execution Risk**</w:t>
      </w:r>
    </w:p>
    <w:p>
      <w:pPr>
        <w:spacing w:line="360" w:lineRule="auto"/>
        <w:jc w:val="both"/>
      </w:pPr>
      <w:r>
        <w:rPr>
          <w:rFonts w:ascii="Times New Roman" w:hAnsi="Times New Roman"/>
          <w:sz w:val="24"/>
        </w:rPr>
        <w:t>• Deep dive on leadership and key technical team members’ track record in battery commercialization.</w:t>
      </w:r>
    </w:p>
    <w:p>
      <w:pPr>
        <w:spacing w:line="360" w:lineRule="auto"/>
        <w:jc w:val="both"/>
      </w:pPr>
      <w:r>
        <w:rPr>
          <w:rFonts w:ascii="Times New Roman" w:hAnsi="Times New Roman"/>
          <w:sz w:val="24"/>
        </w:rPr>
        <w:t>• Evaluate organizational capacity to scale R&amp;D, manufacturing, and global partnerships.</w:t>
      </w:r>
    </w:p>
    <w:p>
      <w:pPr>
        <w:spacing w:line="360" w:lineRule="auto"/>
        <w:jc w:val="both"/>
      </w:pPr>
      <w:r>
        <w:rPr>
          <w:rFonts w:ascii="Times New Roman" w:hAnsi="Times New Roman"/>
          <w:sz w:val="24"/>
        </w:rPr>
        <w:t>**Next Steps:**</w:t>
      </w:r>
    </w:p>
    <w:p>
      <w:pPr>
        <w:spacing w:line="360" w:lineRule="auto"/>
        <w:jc w:val="both"/>
      </w:pPr>
      <w:r>
        <w:rPr>
          <w:rFonts w:ascii="Times New Roman" w:hAnsi="Times New Roman"/>
          <w:sz w:val="24"/>
        </w:rPr>
        <w:t>• Schedule technical deep-dive session with CTO and R&amp;D leads.</w:t>
      </w:r>
    </w:p>
    <w:p>
      <w:pPr>
        <w:spacing w:line="360" w:lineRule="auto"/>
        <w:jc w:val="both"/>
      </w:pPr>
      <w:r>
        <w:rPr>
          <w:rFonts w:ascii="Times New Roman" w:hAnsi="Times New Roman"/>
          <w:sz w:val="24"/>
        </w:rPr>
        <w:t>• Conduct reference checks with OEM partners and industry experts.</w:t>
      </w:r>
    </w:p>
    <w:p>
      <w:pPr>
        <w:spacing w:line="360" w:lineRule="auto"/>
        <w:jc w:val="both"/>
      </w:pPr>
      <w:r>
        <w:rPr>
          <w:rFonts w:ascii="Times New Roman" w:hAnsi="Times New Roman"/>
          <w:sz w:val="24"/>
        </w:rPr>
        <w:t>• Engage independent battery technology consultants for validation.</w:t>
      </w:r>
    </w:p>
    <w:p>
      <w:pPr>
        <w:spacing w:line="360" w:lineRule="auto"/>
        <w:jc w:val="both"/>
      </w:pPr>
      <w:r>
        <w:rPr>
          <w:rFonts w:ascii="Times New Roman" w:hAnsi="Times New Roman"/>
          <w:sz w:val="24"/>
        </w:rPr>
        <w:t>• Review detailed financial model and funding plan.</w:t>
      </w:r>
    </w:p>
    <w:p>
      <w:pPr>
        <w:spacing w:line="360" w:lineRule="auto"/>
        <w:jc w:val="both"/>
      </w:pPr>
      <w:r>
        <w:rPr>
          <w:rFonts w:ascii="Times New Roman" w:hAnsi="Times New Roman"/>
          <w:sz w:val="24"/>
        </w:rPr>
        <w:t>• Monitor regulatory developments impacting fast charging standards.</w:t>
      </w:r>
    </w:p>
    <w:p>
      <w:pPr>
        <w:spacing w:line="360" w:lineRule="auto"/>
        <w:jc w:val="both"/>
      </w:pPr>
      <w:r>
        <w:rPr>
          <w:rFonts w:ascii="Times New Roman" w:hAnsi="Times New Roman"/>
          <w:sz w:val="24"/>
        </w:rPr>
        <w:t>If these clarifications are provided satisfactorily, proceed to term sheet drafting.</w:t>
      </w:r>
    </w:p>
    <w:p>
      <w:pPr>
        <w:spacing w:after="0"/>
      </w:pPr>
    </w:p>
    <w:p>
      <w:pPr>
        <w:spacing w:line="360" w:lineRule="auto" w:after="120"/>
        <w:jc w:val="both"/>
      </w:pPr>
      <w:r>
        <w:rPr>
          <w:rFonts w:ascii="Times New Roman" w:hAnsi="Times New Roman"/>
          <w:b/>
          <w:sz w:val="24"/>
        </w:rPr>
        <w:t>16. FIGURES &amp; VISUALS</w:t>
      </w:r>
    </w:p>
    <w:p>
      <w:pPr>
        <w:spacing w:after="0"/>
      </w:pPr>
    </w:p>
    <w:p>
      <w:pPr>
        <w:spacing w:line="360" w:lineRule="auto" w:after="120"/>
        <w:jc w:val="both"/>
      </w:pPr>
      <w:r>
        <w:rPr>
          <w:rFonts w:ascii="Times New Roman" w:hAnsi="Times New Roman"/>
          <w:b/>
          <w:sz w:val="24"/>
        </w:rPr>
        <w:t>17. APPENDIX: ADDITIONAL TABLES</w:t>
      </w:r>
    </w:p>
    <w:p>
      <w:pPr>
        <w:spacing w:after="0"/>
      </w:pPr>
    </w:p>
    <w:p>
      <w:pPr>
        <w:spacing w:line="360" w:lineRule="auto" w:after="120"/>
        <w:jc w:val="both"/>
      </w:pPr>
      <w:r>
        <w:rPr>
          <w:rFonts w:ascii="Times New Roman" w:hAnsi="Times New Roman"/>
          <w:b/>
          <w:sz w:val="24"/>
        </w:rPr>
        <w:t>18. DISCUSSION &amp; ANALYST COMMENTARY</w:t>
      </w:r>
    </w:p>
    <w:p>
      <w:pPr>
        <w:spacing w:line="360" w:lineRule="auto"/>
        <w:jc w:val="both"/>
      </w:pPr>
      <w:r>
        <w:rPr>
          <w:rFonts w:ascii="Times New Roman" w:hAnsi="Times New Roman"/>
          <w:sz w:val="24"/>
        </w:rPr>
        <w:t>**Analyst Commentary on StoreDot Investment Memo**</w:t>
      </w:r>
    </w:p>
    <w:p>
      <w:pPr>
        <w:spacing w:line="360" w:lineRule="auto"/>
        <w:jc w:val="both"/>
      </w:pPr>
      <w:r>
        <w:rPr>
          <w:rFonts w:ascii="Times New Roman" w:hAnsi="Times New Roman"/>
          <w:sz w:val="24"/>
        </w:rPr>
        <w:t>•--</w:t>
      </w:r>
    </w:p>
    <w:p>
      <w:pPr>
        <w:spacing w:line="360" w:lineRule="auto"/>
        <w:jc w:val="both"/>
      </w:pPr>
      <w:r>
        <w:rPr>
          <w:rFonts w:ascii="Times New Roman" w:hAnsi="Times New Roman"/>
          <w:sz w:val="24"/>
        </w:rPr>
        <w:t>### Key Strengths</w:t>
      </w:r>
    </w:p>
    <w:p>
      <w:pPr>
        <w:spacing w:line="360" w:lineRule="auto"/>
        <w:jc w:val="both"/>
      </w:pPr>
      <w:r>
        <w:rPr>
          <w:rFonts w:ascii="Times New Roman" w:hAnsi="Times New Roman"/>
          <w:sz w:val="24"/>
        </w:rPr>
        <w:t>• **Technology Differentiation &amp; Lead Time:** StoreDot’s silicon-dominant anode lithium-ion battery technology claims a 3-5 year lead over solid-state and other emerging competitors, with a compelling value proposition of charging 100 miles in 5-10 minutes. This addresses a critical pain point—charging speed—that currently limits EV adoption.</w:t>
      </w:r>
    </w:p>
    <w:p>
      <w:pPr>
        <w:spacing w:line="360" w:lineRule="auto"/>
        <w:jc w:val="both"/>
      </w:pPr>
      <w:r>
        <w:rPr>
          <w:rFonts w:ascii="Times New Roman" w:hAnsi="Times New Roman"/>
          <w:sz w:val="24"/>
        </w:rPr>
        <w:t>• **Strong IP Position:** With 78 granted US patents and 22 pending, StoreDot has built a defensible moat around its core technology, which is crucial in a highly competitive and fast-evolving battery space.</w:t>
      </w:r>
    </w:p>
    <w:p>
      <w:pPr>
        <w:spacing w:line="360" w:lineRule="auto"/>
        <w:jc w:val="both"/>
      </w:pPr>
      <w:r>
        <w:rPr>
          <w:rFonts w:ascii="Times New Roman" w:hAnsi="Times New Roman"/>
          <w:sz w:val="24"/>
        </w:rPr>
        <w:t>• **OEM Partnerships &amp; Industry Alignment:** Engagement with over 15 OEMs and battery manufacturers indicates strong industry interest and validation potential. Compatibility with existing lithium-ion manufacturing lines enhances scalability and lowers adoption friction.</w:t>
      </w:r>
    </w:p>
    <w:p>
      <w:pPr>
        <w:spacing w:line="360" w:lineRule="auto"/>
        <w:jc w:val="both"/>
      </w:pPr>
      <w:r>
        <w:rPr>
          <w:rFonts w:ascii="Times New Roman" w:hAnsi="Times New Roman"/>
          <w:sz w:val="24"/>
        </w:rPr>
        <w:t>• **Clear Commercial Timeline:** Targeting commercial readiness by 2025 aligns well with the accelerating EV market and OEM electrification roadmaps, potentially enabling first-mover advantage in extreme fast charging (XFC) batteries.</w:t>
      </w:r>
    </w:p>
    <w:p>
      <w:pPr>
        <w:spacing w:line="360" w:lineRule="auto"/>
        <w:jc w:val="both"/>
      </w:pPr>
      <w:r>
        <w:rPr>
          <w:rFonts w:ascii="Times New Roman" w:hAnsi="Times New Roman"/>
          <w:sz w:val="24"/>
        </w:rPr>
        <w:t>• **Sustainability Angle:** Reduced cobalt content and compatibility with existing production infrastructure support ESG goals, increasingly important for investors and OEMs.</w:t>
      </w:r>
    </w:p>
    <w:p>
      <w:pPr>
        <w:spacing w:line="360" w:lineRule="auto"/>
        <w:jc w:val="both"/>
      </w:pPr>
      <w:r>
        <w:rPr>
          <w:rFonts w:ascii="Times New Roman" w:hAnsi="Times New Roman"/>
          <w:sz w:val="24"/>
        </w:rPr>
        <w:t>### Key Weaknesses</w:t>
      </w:r>
    </w:p>
    <w:p>
      <w:pPr>
        <w:spacing w:line="360" w:lineRule="auto"/>
        <w:jc w:val="both"/>
      </w:pPr>
      <w:r>
        <w:rPr>
          <w:rFonts w:ascii="Times New Roman" w:hAnsi="Times New Roman"/>
          <w:sz w:val="24"/>
        </w:rPr>
        <w:t>• **Lack of Financial Transparency:** No disclosed financials, funding stage, or burn rate significantly increase due diligence risk. Without clarity on capital adequacy and runway, execution risk remains high.</w:t>
      </w:r>
    </w:p>
    <w:p>
      <w:pPr>
        <w:spacing w:line="360" w:lineRule="auto"/>
        <w:jc w:val="both"/>
      </w:pPr>
      <w:r>
        <w:rPr>
          <w:rFonts w:ascii="Times New Roman" w:hAnsi="Times New Roman"/>
          <w:sz w:val="24"/>
        </w:rPr>
        <w:t>• **Limited Technical Detail &amp; Independent Validation:** Critical performance claims (charging speed, cycle life, safety) lack third-party verification. Absence of detailed technical complexity, scalability challenges, and safety data is a red flag.</w:t>
      </w:r>
    </w:p>
    <w:p>
      <w:pPr>
        <w:spacing w:line="360" w:lineRule="auto"/>
        <w:jc w:val="both"/>
      </w:pPr>
      <w:r>
        <w:rPr>
          <w:rFonts w:ascii="Times New Roman" w:hAnsi="Times New Roman"/>
          <w:sz w:val="24"/>
        </w:rPr>
        <w:t>• **Market Size Metrics Unclear:** TAM/SAM/SOM figures appear inconsistent or misstated (e.g., TAM $120K is likely a typo or incomplete), undermining confidence in market opportunity assessment.</w:t>
      </w:r>
    </w:p>
    <w:p>
      <w:pPr>
        <w:spacing w:line="360" w:lineRule="auto"/>
        <w:jc w:val="both"/>
      </w:pPr>
      <w:r>
        <w:rPr>
          <w:rFonts w:ascii="Times New Roman" w:hAnsi="Times New Roman"/>
          <w:sz w:val="24"/>
        </w:rPr>
        <w:t>• **Unclear OEM Commitments:** While &gt;15 OEMs are testing, no confirmed LOIs or binding agreements are disclosed, raising questions about commercial traction and revenue visibility.</w:t>
      </w:r>
    </w:p>
    <w:p>
      <w:pPr>
        <w:spacing w:line="360" w:lineRule="auto"/>
        <w:jc w:val="both"/>
      </w:pPr>
      <w:r>
        <w:rPr>
          <w:rFonts w:ascii="Times New Roman" w:hAnsi="Times New Roman"/>
          <w:sz w:val="24"/>
        </w:rPr>
        <w:t>• **Competitive Landscape Risks:** Competitors like QuantumScape and Sila Nanotechnologies are well-funded and advancing rapidly. StoreDot’s silicon-dominant anode tech, while promising, may face obsolescence if solid-state or other chemistries mature faster or prove superior.</w:t>
      </w:r>
    </w:p>
    <w:p>
      <w:pPr>
        <w:spacing w:line="360" w:lineRule="auto"/>
        <w:jc w:val="both"/>
      </w:pPr>
      <w:r>
        <w:rPr>
          <w:rFonts w:ascii="Times New Roman" w:hAnsi="Times New Roman"/>
          <w:sz w:val="24"/>
        </w:rPr>
        <w:t>### Opportunities</w:t>
      </w:r>
    </w:p>
    <w:p>
      <w:pPr>
        <w:spacing w:line="360" w:lineRule="auto"/>
        <w:jc w:val="both"/>
      </w:pPr>
      <w:r>
        <w:rPr>
          <w:rFonts w:ascii="Times New Roman" w:hAnsi="Times New Roman"/>
          <w:sz w:val="24"/>
        </w:rPr>
        <w:t>• **Mass EV Adoption Catalyst:** If StoreDot delivers on its promise, it could become a critical enabler of EV adoption by eliminating charging anxiety, unlocking new market segments (e.g., fleet, long-distance travel).</w:t>
      </w:r>
    </w:p>
    <w:p>
      <w:pPr>
        <w:spacing w:line="360" w:lineRule="auto"/>
        <w:jc w:val="both"/>
      </w:pPr>
      <w:r>
        <w:rPr>
          <w:rFonts w:ascii="Times New Roman" w:hAnsi="Times New Roman"/>
          <w:sz w:val="24"/>
        </w:rPr>
        <w:t>• **Licensing &amp; JV Revenue Streams:** Licensing to OEMs and battery manufacturers offers scalable, asset-light revenue potential with lower capital intensity than direct manufacturing.</w:t>
      </w:r>
    </w:p>
    <w:p>
      <w:pPr>
        <w:spacing w:line="360" w:lineRule="auto"/>
        <w:jc w:val="both"/>
      </w:pPr>
      <w:r>
        <w:rPr>
          <w:rFonts w:ascii="Times New Roman" w:hAnsi="Times New Roman"/>
          <w:sz w:val="24"/>
        </w:rPr>
        <w:t>• **Strategic Partnerships &amp; Exit Potential:** Early engagement with OEMs positions StoreDot for potential acquisition by major automotive or battery players seeking to accelerate charging innovation.</w:t>
      </w:r>
    </w:p>
    <w:p>
      <w:pPr>
        <w:spacing w:line="360" w:lineRule="auto"/>
        <w:jc w:val="both"/>
      </w:pPr>
      <w:r>
        <w:rPr>
          <w:rFonts w:ascii="Times New Roman" w:hAnsi="Times New Roman"/>
          <w:sz w:val="24"/>
        </w:rPr>
        <w:t>• **ESG &amp; Regulatory Tailwinds:** Growing regulatory pressure for sustainable, fast-charging solutions could accelerate adoption and government support.</w:t>
      </w:r>
    </w:p>
    <w:p>
      <w:pPr>
        <w:spacing w:line="360" w:lineRule="auto"/>
        <w:jc w:val="both"/>
      </w:pPr>
      <w:r>
        <w:rPr>
          <w:rFonts w:ascii="Times New Roman" w:hAnsi="Times New Roman"/>
          <w:sz w:val="24"/>
        </w:rPr>
        <w:t>### Risks</w:t>
      </w:r>
    </w:p>
    <w:p>
      <w:pPr>
        <w:spacing w:line="360" w:lineRule="auto"/>
        <w:jc w:val="both"/>
      </w:pPr>
      <w:r>
        <w:rPr>
          <w:rFonts w:ascii="Times New Roman" w:hAnsi="Times New Roman"/>
          <w:sz w:val="24"/>
        </w:rPr>
        <w:t>• **Execution &amp; Scale-up Risk:** Transitioning from lab to commercial-scale production by 2025 is ambitious. Manufacturing scale-up on existing lines may encounter unforeseen technical or supply chain hurdles.</w:t>
      </w:r>
    </w:p>
    <w:p>
      <w:pPr>
        <w:spacing w:line="360" w:lineRule="auto"/>
        <w:jc w:val="both"/>
      </w:pPr>
      <w:r>
        <w:rPr>
          <w:rFonts w:ascii="Times New Roman" w:hAnsi="Times New Roman"/>
          <w:sz w:val="24"/>
        </w:rPr>
        <w:t>• **Regulatory &amp; Certification Risk:** Compliance with evolving safety and industry standards is mandatory; delays or failures here could stall commercialization.</w:t>
      </w:r>
    </w:p>
    <w:p>
      <w:pPr>
        <w:spacing w:line="360" w:lineRule="auto"/>
        <w:jc w:val="both"/>
      </w:pPr>
      <w:r>
        <w:rPr>
          <w:rFonts w:ascii="Times New Roman" w:hAnsi="Times New Roman"/>
          <w:sz w:val="24"/>
        </w:rPr>
        <w:t>• **IP &amp; Competitive Risk:** Patent scope and geographic coverage need clarification to avoid infringement or competitive encroachment. Emerging battery chemistries could leapfrog StoreDot’s technology.</w:t>
      </w:r>
    </w:p>
    <w:p>
      <w:pPr>
        <w:spacing w:line="360" w:lineRule="auto"/>
        <w:jc w:val="both"/>
      </w:pPr>
      <w:r>
        <w:rPr>
          <w:rFonts w:ascii="Times New Roman" w:hAnsi="Times New Roman"/>
          <w:sz w:val="24"/>
        </w:rPr>
        <w:t>• **Market Timing &amp; Adoption Risk:** OEMs’ EV roadmaps and infrastructure development timelines may not align perfectly with StoreDot’s commercialization, risking delayed or limited adoption.</w:t>
      </w:r>
    </w:p>
    <w:p>
      <w:pPr>
        <w:spacing w:line="360" w:lineRule="auto"/>
        <w:jc w:val="both"/>
      </w:pPr>
      <w:r>
        <w:rPr>
          <w:rFonts w:ascii="Times New Roman" w:hAnsi="Times New Roman"/>
          <w:sz w:val="24"/>
        </w:rPr>
        <w:t>• **Financial &amp; Funding Risk:** Unknown funding status and lack of financial transparency raise concerns about ability to sustain R&amp;D and commercialization efforts.</w:t>
      </w:r>
    </w:p>
    <w:p>
      <w:pPr>
        <w:spacing w:line="360" w:lineRule="auto"/>
        <w:jc w:val="both"/>
      </w:pPr>
      <w:r>
        <w:rPr>
          <w:rFonts w:ascii="Times New Roman" w:hAnsi="Times New Roman"/>
          <w:sz w:val="24"/>
        </w:rPr>
        <w:t>### Actionable Recommendations for Investors</w:t>
      </w:r>
    </w:p>
    <w:p>
      <w:pPr>
        <w:spacing w:line="360" w:lineRule="auto"/>
        <w:jc w:val="both"/>
      </w:pPr>
      <w:r>
        <w:rPr>
          <w:rFonts w:ascii="Times New Roman" w:hAnsi="Times New Roman"/>
          <w:sz w:val="24"/>
        </w:rPr>
        <w:t>1. **Demand Rigorous Technical Validation:** Insist on independent third-party testing reports confirming charging speed, cycle life, safety, and scalability claims before committing capital.</w:t>
      </w:r>
    </w:p>
    <w:p>
      <w:pPr>
        <w:spacing w:line="360" w:lineRule="auto"/>
        <w:jc w:val="both"/>
      </w:pPr>
      <w:r>
        <w:rPr>
          <w:rFonts w:ascii="Times New Roman" w:hAnsi="Times New Roman"/>
          <w:sz w:val="24"/>
        </w:rPr>
        <w:t>2. **Clarify OEM Engagements:** Obtain detailed information on OEM partners, including stage of testing, feedback, and any binding commercial agreements or LOIs.</w:t>
      </w:r>
    </w:p>
    <w:p>
      <w:pPr>
        <w:spacing w:line="360" w:lineRule="auto"/>
        <w:jc w:val="both"/>
      </w:pPr>
      <w:r>
        <w:rPr>
          <w:rFonts w:ascii="Times New Roman" w:hAnsi="Times New Roman"/>
          <w:sz w:val="24"/>
        </w:rPr>
        <w:t>3. **Financial Transparency &amp; Funding Plan:** Require disclosure of current financials, burn rate, runway, and planned funding rounds to assess execution risk and capital needs.</w:t>
      </w:r>
    </w:p>
    <w:p>
      <w:pPr>
        <w:spacing w:after="0"/>
      </w:pPr>
    </w:p>
    <w:p>
      <w:pPr>
        <w:spacing w:line="360" w:lineRule="auto" w:after="120"/>
        <w:jc w:val="both"/>
      </w:pPr>
      <w:r>
        <w:rPr>
          <w:rFonts w:ascii="Times New Roman" w:hAnsi="Times New Roman"/>
          <w:b/>
          <w:sz w:val="24"/>
        </w:rPr>
        <w:t>4. IP &amp; Competitive Landscape Deep Dive: Conduct an IP audit and competitive benchmarking with expert consultants to validate StoreDot’s moat and technology positioning.</w:t>
      </w:r>
    </w:p>
    <w:p>
      <w:pPr>
        <w:spacing w:line="360" w:lineRule="auto"/>
        <w:jc w:val="both"/>
      </w:pPr>
      <w:r>
        <w:rPr>
          <w:rFonts w:ascii="Times New Roman" w:hAnsi="Times New Roman"/>
          <w:sz w:val="24"/>
        </w:rPr>
        <w:t>5. **Monitor Regulatory Environment:** Stay abreast of evolving fast-charging standards and certifications that could impact StoreDot’s technology adoption.</w:t>
      </w:r>
    </w:p>
    <w:p>
      <w:pPr>
        <w:spacing w:line="360" w:lineRule="auto"/>
        <w:jc w:val="both"/>
      </w:pPr>
      <w:r>
        <w:rPr>
          <w:rFonts w:ascii="Times New Roman" w:hAnsi="Times New Roman"/>
          <w:sz w:val="24"/>
        </w:rPr>
        <w:t>6. **Structure Investment with Milestones:** Consider staged funding tied to technical validation, OEM commitments, and manufacturing scale-up milestones to mitigate risk.</w:t>
      </w:r>
    </w:p>
    <w:p>
      <w:pPr>
        <w:spacing w:line="360" w:lineRule="auto"/>
        <w:jc w:val="both"/>
      </w:pPr>
      <w:r>
        <w:rPr>
          <w:rFonts w:ascii="Times New Roman" w:hAnsi="Times New Roman"/>
          <w:sz w:val="24"/>
        </w:rPr>
        <w:t>7. **Explore Strategic Partnerships:** Encourage StoreDot to deepen collaborations with OEMs and battery manufacturers to secure commercial traction and potential exit pathways.</w:t>
      </w:r>
    </w:p>
    <w:p>
      <w:pPr>
        <w:spacing w:line="360" w:lineRule="auto"/>
        <w:jc w:val="both"/>
      </w:pPr>
      <w:r>
        <w:rPr>
          <w:rFonts w:ascii="Times New Roman" w:hAnsi="Times New Roman"/>
          <w:sz w:val="24"/>
        </w:rPr>
        <w:t>### Conclusion</w:t>
      </w:r>
    </w:p>
    <w:p>
      <w:pPr>
        <w:spacing w:line="360" w:lineRule="auto"/>
        <w:jc w:val="both"/>
      </w:pPr>
      <w:r>
        <w:rPr>
          <w:rFonts w:ascii="Times New Roman" w:hAnsi="Times New Roman"/>
          <w:sz w:val="24"/>
        </w:rPr>
        <w:t>StoreDot presents a compelling technology solution to a critical EV adoption barrier with a strong IP base and promising OEM interest. However, significant information gaps—particularly around financials, independent technical validation, and commercial commitments—introduce material execution and market risks. Investors should proceed cautiously, prioritizing rigorous due diligence and milestone-based investment structures to balance upside potential with inherent uncertainties in the deep-tech battery space.</w:t>
      </w:r>
    </w:p>
    <w:p>
      <w:pPr>
        <w:spacing w:line="360" w:lineRule="auto"/>
        <w:jc w:val="both"/>
      </w:pPr>
      <w:r>
        <w:rPr>
          <w:rFonts w:ascii="Times New Roman" w:hAnsi="Times New Roman"/>
          <w:sz w:val="24"/>
        </w:rPr>
        <w:t>Generated by VC Analysis System on July 14, 2025</w:t>
      </w:r>
    </w:p>
    <w:p>
      <w:pPr>
        <w:spacing w:line="360" w:lineRule="auto"/>
        <w:jc w:val="both"/>
      </w:pPr>
      <w:r>
        <w:rPr>
          <w:rFonts w:ascii="Times New Roman" w:hAnsi="Times New Roman"/>
          <w:sz w:val="24"/>
        </w:rPr>
        <w:t>Data Sources: Company documents, market research, competitive intelligence, technical analysis</w:t>
      </w:r>
    </w:p>
    <w:p>
      <w:pPr>
        <w:spacing w:line="360" w:lineRule="auto"/>
        <w:jc w:val="both"/>
      </w:pPr>
      <w:r>
        <w:rPr>
          <w:rFonts w:ascii="Times New Roman" w:hAnsi="Times New Roman"/>
          <w:sz w:val="24"/>
        </w:rPr>
        <w:t>Analysis Framework: Multi-agent AI system with specialized domain expertise</w:t>
      </w:r>
    </w:p>
    <w:sectPr w:rsidR="00FE612B" w:rsidRPr="00C802F8" w:rsidSect="00830FE5">
      <w:headerReference w:type="default" r:id="rId9"/>
      <w:pgSz w:w="11906" w:h="16838"/>
      <w:pgMar w:top="1440" w:right="1440" w:bottom="1440" w:left="1440" w:header="964" w:footer="113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0FCEAF" w14:textId="77777777" w:rsidR="009B3FE6" w:rsidRDefault="009B3FE6">
      <w:r>
        <w:separator/>
      </w:r>
    </w:p>
  </w:endnote>
  <w:endnote w:type="continuationSeparator" w:id="0">
    <w:p w14:paraId="6D05A3F4" w14:textId="77777777" w:rsidR="009B3FE6" w:rsidRDefault="009B3F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CC"/>
    <w:family w:val="swiss"/>
    <w:pitch w:val="variable"/>
    <w:sig w:usb0="E1002EFF" w:usb1="C000605B" w:usb2="00000029" w:usb3="00000000" w:csb0="000101FF" w:csb1="00000000"/>
  </w:font>
  <w:font w:name="Menlo">
    <w:panose1 w:val="020B0609030804020204"/>
    <w:charset w:val="00"/>
    <w:family w:val="modern"/>
    <w:pitch w:val="fixed"/>
    <w:sig w:usb0="E60022FF" w:usb1="D200F9FB" w:usb2="02000028" w:usb3="00000000" w:csb0="000001DF"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E635E5" w14:textId="77777777" w:rsidR="009B3FE6" w:rsidRDefault="009B3FE6">
      <w:r>
        <w:separator/>
      </w:r>
    </w:p>
  </w:footnote>
  <w:footnote w:type="continuationSeparator" w:id="0">
    <w:p w14:paraId="02DC1802" w14:textId="77777777" w:rsidR="009B3FE6" w:rsidRDefault="009B3FE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1D8886" w14:textId="638C375B" w:rsidR="00982DE1" w:rsidRPr="00830FE5" w:rsidRDefault="00830FE5" w:rsidP="00830FE5">
    <w:pPr>
      <w:pStyle w:val="Header"/>
      <w:ind w:left="4153" w:firstLine="3767"/>
    </w:pPr>
    <w:r>
      <w:rPr>
        <w:noProof/>
      </w:rPr>
      <w:drawing>
        <wp:anchor distT="0" distB="0" distL="114300" distR="114300" simplePos="0" relativeHeight="251658240" behindDoc="0" locked="0" layoutInCell="1" allowOverlap="1" wp14:anchorId="7D1B590A" wp14:editId="6D710E21">
          <wp:simplePos x="0" y="0"/>
          <wp:positionH relativeFrom="column">
            <wp:posOffset>-828675</wp:posOffset>
          </wp:positionH>
          <wp:positionV relativeFrom="paragraph">
            <wp:posOffset>-713740</wp:posOffset>
          </wp:positionV>
          <wp:extent cx="2228850" cy="1485900"/>
          <wp:effectExtent l="0" t="0" r="0" b="0"/>
          <wp:wrapThrough wrapText="bothSides">
            <wp:wrapPolygon edited="0">
              <wp:start x="3569" y="7385"/>
              <wp:lineTo x="2708" y="8677"/>
              <wp:lineTo x="2092" y="9969"/>
              <wp:lineTo x="2215" y="11631"/>
              <wp:lineTo x="3200" y="13662"/>
              <wp:lineTo x="3692" y="14031"/>
              <wp:lineTo x="5292" y="14031"/>
              <wp:lineTo x="5292" y="13662"/>
              <wp:lineTo x="17231" y="12554"/>
              <wp:lineTo x="17354" y="10708"/>
              <wp:lineTo x="19323" y="10708"/>
              <wp:lineTo x="19200" y="8677"/>
              <wp:lineTo x="5292" y="7385"/>
              <wp:lineTo x="3569" y="7385"/>
            </wp:wrapPolygon>
          </wp:wrapThrough>
          <wp:docPr id="2306303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630311" name="Picture 230630311"/>
                  <pic:cNvPicPr/>
                </pic:nvPicPr>
                <pic:blipFill>
                  <a:blip r:embed="rId1">
                    <a:extLst>
                      <a:ext uri="{28A0092B-C50C-407E-A947-70E740481C1C}">
                        <a14:useLocalDpi xmlns:a14="http://schemas.microsoft.com/office/drawing/2010/main" val="0"/>
                      </a:ext>
                    </a:extLst>
                  </a:blip>
                  <a:stretch>
                    <a:fillRect/>
                  </a:stretch>
                </pic:blipFill>
                <pic:spPr>
                  <a:xfrm>
                    <a:off x="0" y="0"/>
                    <a:ext cx="2228850" cy="1485900"/>
                  </a:xfrm>
                  <a:prstGeom prst="rect">
                    <a:avLst/>
                  </a:prstGeom>
                </pic:spPr>
              </pic:pic>
            </a:graphicData>
          </a:graphic>
          <wp14:sizeRelH relativeFrom="page">
            <wp14:pctWidth>0</wp14:pctWidth>
          </wp14:sizeRelH>
          <wp14:sizeRelV relativeFrom="page">
            <wp14:pctHeight>0</wp14:pctHeight>
          </wp14:sizeRelV>
        </wp:anchor>
      </w:drawing>
    </w:r>
    <w:r>
      <w:t xml:space="preserve">   B253500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C748A4"/>
    <w:multiLevelType w:val="hybridMultilevel"/>
    <w:tmpl w:val="F8CEA3CC"/>
    <w:lvl w:ilvl="0" w:tplc="000F0409">
      <w:start w:val="1"/>
      <w:numFmt w:val="decimal"/>
      <w:lvlText w:val="%1."/>
      <w:lvlJc w:val="left"/>
      <w:pPr>
        <w:tabs>
          <w:tab w:val="num" w:pos="360"/>
        </w:tabs>
        <w:ind w:left="360" w:hanging="360"/>
      </w:pPr>
    </w:lvl>
    <w:lvl w:ilvl="1" w:tplc="00190409" w:tentative="1">
      <w:start w:val="1"/>
      <w:numFmt w:val="lowerLetter"/>
      <w:lvlText w:val="%2."/>
      <w:lvlJc w:val="left"/>
      <w:pPr>
        <w:tabs>
          <w:tab w:val="num" w:pos="1080"/>
        </w:tabs>
        <w:ind w:left="1080" w:hanging="360"/>
      </w:pPr>
    </w:lvl>
    <w:lvl w:ilvl="2" w:tplc="001B0409" w:tentative="1">
      <w:start w:val="1"/>
      <w:numFmt w:val="lowerRoman"/>
      <w:lvlText w:val="%3."/>
      <w:lvlJc w:val="right"/>
      <w:pPr>
        <w:tabs>
          <w:tab w:val="num" w:pos="1800"/>
        </w:tabs>
        <w:ind w:left="1800" w:hanging="180"/>
      </w:pPr>
    </w:lvl>
    <w:lvl w:ilvl="3" w:tplc="000F0409" w:tentative="1">
      <w:start w:val="1"/>
      <w:numFmt w:val="decimal"/>
      <w:lvlText w:val="%4."/>
      <w:lvlJc w:val="left"/>
      <w:pPr>
        <w:tabs>
          <w:tab w:val="num" w:pos="2520"/>
        </w:tabs>
        <w:ind w:left="2520" w:hanging="360"/>
      </w:pPr>
    </w:lvl>
    <w:lvl w:ilvl="4" w:tplc="00190409" w:tentative="1">
      <w:start w:val="1"/>
      <w:numFmt w:val="lowerLetter"/>
      <w:lvlText w:val="%5."/>
      <w:lvlJc w:val="left"/>
      <w:pPr>
        <w:tabs>
          <w:tab w:val="num" w:pos="3240"/>
        </w:tabs>
        <w:ind w:left="3240" w:hanging="360"/>
      </w:pPr>
    </w:lvl>
    <w:lvl w:ilvl="5" w:tplc="001B0409" w:tentative="1">
      <w:start w:val="1"/>
      <w:numFmt w:val="lowerRoman"/>
      <w:lvlText w:val="%6."/>
      <w:lvlJc w:val="right"/>
      <w:pPr>
        <w:tabs>
          <w:tab w:val="num" w:pos="3960"/>
        </w:tabs>
        <w:ind w:left="3960" w:hanging="180"/>
      </w:pPr>
    </w:lvl>
    <w:lvl w:ilvl="6" w:tplc="000F0409" w:tentative="1">
      <w:start w:val="1"/>
      <w:numFmt w:val="decimal"/>
      <w:lvlText w:val="%7."/>
      <w:lvlJc w:val="left"/>
      <w:pPr>
        <w:tabs>
          <w:tab w:val="num" w:pos="4680"/>
        </w:tabs>
        <w:ind w:left="4680" w:hanging="360"/>
      </w:pPr>
    </w:lvl>
    <w:lvl w:ilvl="7" w:tplc="00190409" w:tentative="1">
      <w:start w:val="1"/>
      <w:numFmt w:val="lowerLetter"/>
      <w:lvlText w:val="%8."/>
      <w:lvlJc w:val="left"/>
      <w:pPr>
        <w:tabs>
          <w:tab w:val="num" w:pos="5400"/>
        </w:tabs>
        <w:ind w:left="5400" w:hanging="360"/>
      </w:pPr>
    </w:lvl>
    <w:lvl w:ilvl="8" w:tplc="001B0409" w:tentative="1">
      <w:start w:val="1"/>
      <w:numFmt w:val="lowerRoman"/>
      <w:lvlText w:val="%9."/>
      <w:lvlJc w:val="right"/>
      <w:pPr>
        <w:tabs>
          <w:tab w:val="num" w:pos="6120"/>
        </w:tabs>
        <w:ind w:left="6120" w:hanging="180"/>
      </w:pPr>
    </w:lvl>
  </w:abstractNum>
  <w:abstractNum w:abstractNumId="1" w15:restartNumberingAfterBreak="0">
    <w:nsid w:val="13316D0E"/>
    <w:multiLevelType w:val="hybridMultilevel"/>
    <w:tmpl w:val="16DEADD6"/>
    <w:lvl w:ilvl="0" w:tplc="00010409">
      <w:start w:val="1"/>
      <w:numFmt w:val="bullet"/>
      <w:lvlText w:val=""/>
      <w:lvlJc w:val="left"/>
      <w:pPr>
        <w:tabs>
          <w:tab w:val="num" w:pos="360"/>
        </w:tabs>
        <w:ind w:left="360" w:hanging="360"/>
      </w:pPr>
      <w:rPr>
        <w:rFonts w:ascii="Symbol" w:hAnsi="Symbol" w:hint="default"/>
      </w:rPr>
    </w:lvl>
    <w:lvl w:ilvl="1" w:tplc="00030409">
      <w:start w:val="1"/>
      <w:numFmt w:val="bullet"/>
      <w:lvlText w:val="o"/>
      <w:lvlJc w:val="left"/>
      <w:pPr>
        <w:tabs>
          <w:tab w:val="num" w:pos="1080"/>
        </w:tabs>
        <w:ind w:left="1080" w:hanging="360"/>
      </w:pPr>
      <w:rPr>
        <w:rFonts w:ascii="Courier New" w:hAnsi="Courier New" w:hint="default"/>
      </w:rPr>
    </w:lvl>
    <w:lvl w:ilvl="2" w:tplc="00050409" w:tentative="1">
      <w:start w:val="1"/>
      <w:numFmt w:val="bullet"/>
      <w:lvlText w:val=""/>
      <w:lvlJc w:val="left"/>
      <w:pPr>
        <w:tabs>
          <w:tab w:val="num" w:pos="1800"/>
        </w:tabs>
        <w:ind w:left="1800" w:hanging="360"/>
      </w:pPr>
      <w:rPr>
        <w:rFonts w:ascii="Wingdings" w:hAnsi="Wingdings" w:hint="default"/>
      </w:rPr>
    </w:lvl>
    <w:lvl w:ilvl="3" w:tplc="00010409" w:tentative="1">
      <w:start w:val="1"/>
      <w:numFmt w:val="bullet"/>
      <w:lvlText w:val=""/>
      <w:lvlJc w:val="left"/>
      <w:pPr>
        <w:tabs>
          <w:tab w:val="num" w:pos="2520"/>
        </w:tabs>
        <w:ind w:left="2520" w:hanging="360"/>
      </w:pPr>
      <w:rPr>
        <w:rFonts w:ascii="Symbol" w:hAnsi="Symbol" w:hint="default"/>
      </w:rPr>
    </w:lvl>
    <w:lvl w:ilvl="4" w:tplc="00030409" w:tentative="1">
      <w:start w:val="1"/>
      <w:numFmt w:val="bullet"/>
      <w:lvlText w:val="o"/>
      <w:lvlJc w:val="left"/>
      <w:pPr>
        <w:tabs>
          <w:tab w:val="num" w:pos="3240"/>
        </w:tabs>
        <w:ind w:left="3240" w:hanging="360"/>
      </w:pPr>
      <w:rPr>
        <w:rFonts w:ascii="Courier New" w:hAnsi="Courier New" w:hint="default"/>
      </w:rPr>
    </w:lvl>
    <w:lvl w:ilvl="5" w:tplc="00050409" w:tentative="1">
      <w:start w:val="1"/>
      <w:numFmt w:val="bullet"/>
      <w:lvlText w:val=""/>
      <w:lvlJc w:val="left"/>
      <w:pPr>
        <w:tabs>
          <w:tab w:val="num" w:pos="3960"/>
        </w:tabs>
        <w:ind w:left="3960" w:hanging="360"/>
      </w:pPr>
      <w:rPr>
        <w:rFonts w:ascii="Wingdings" w:hAnsi="Wingdings" w:hint="default"/>
      </w:rPr>
    </w:lvl>
    <w:lvl w:ilvl="6" w:tplc="00010409" w:tentative="1">
      <w:start w:val="1"/>
      <w:numFmt w:val="bullet"/>
      <w:lvlText w:val=""/>
      <w:lvlJc w:val="left"/>
      <w:pPr>
        <w:tabs>
          <w:tab w:val="num" w:pos="4680"/>
        </w:tabs>
        <w:ind w:left="4680" w:hanging="360"/>
      </w:pPr>
      <w:rPr>
        <w:rFonts w:ascii="Symbol" w:hAnsi="Symbol" w:hint="default"/>
      </w:rPr>
    </w:lvl>
    <w:lvl w:ilvl="7" w:tplc="00030409" w:tentative="1">
      <w:start w:val="1"/>
      <w:numFmt w:val="bullet"/>
      <w:lvlText w:val="o"/>
      <w:lvlJc w:val="left"/>
      <w:pPr>
        <w:tabs>
          <w:tab w:val="num" w:pos="5400"/>
        </w:tabs>
        <w:ind w:left="5400" w:hanging="360"/>
      </w:pPr>
      <w:rPr>
        <w:rFonts w:ascii="Courier New" w:hAnsi="Courier New" w:hint="default"/>
      </w:rPr>
    </w:lvl>
    <w:lvl w:ilvl="8" w:tplc="00050409" w:tentative="1">
      <w:start w:val="1"/>
      <w:numFmt w:val="bullet"/>
      <w:lvlText w:val=""/>
      <w:lvlJc w:val="left"/>
      <w:pPr>
        <w:tabs>
          <w:tab w:val="num" w:pos="6120"/>
        </w:tabs>
        <w:ind w:left="6120" w:hanging="360"/>
      </w:pPr>
      <w:rPr>
        <w:rFonts w:ascii="Wingdings" w:hAnsi="Wingdings" w:hint="default"/>
      </w:rPr>
    </w:lvl>
  </w:abstractNum>
  <w:abstractNum w:abstractNumId="2" w15:restartNumberingAfterBreak="0">
    <w:nsid w:val="22D8778E"/>
    <w:multiLevelType w:val="hybridMultilevel"/>
    <w:tmpl w:val="8EA280B6"/>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3" w15:restartNumberingAfterBreak="0">
    <w:nsid w:val="2420299C"/>
    <w:multiLevelType w:val="singleLevel"/>
    <w:tmpl w:val="DFBE0652"/>
    <w:lvl w:ilvl="0">
      <w:start w:val="1"/>
      <w:numFmt w:val="lowerLetter"/>
      <w:lvlText w:val="%1)"/>
      <w:lvlJc w:val="left"/>
      <w:pPr>
        <w:tabs>
          <w:tab w:val="num" w:pos="720"/>
        </w:tabs>
        <w:ind w:left="720" w:hanging="720"/>
      </w:pPr>
      <w:rPr>
        <w:rFonts w:hint="default"/>
      </w:rPr>
    </w:lvl>
  </w:abstractNum>
  <w:abstractNum w:abstractNumId="4" w15:restartNumberingAfterBreak="0">
    <w:nsid w:val="27801AD4"/>
    <w:multiLevelType w:val="hybridMultilevel"/>
    <w:tmpl w:val="E5D494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45910E9D"/>
    <w:multiLevelType w:val="hybridMultilevel"/>
    <w:tmpl w:val="79566FA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55D62921"/>
    <w:multiLevelType w:val="hybridMultilevel"/>
    <w:tmpl w:val="3F8C63B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69F80BE0"/>
    <w:multiLevelType w:val="hybridMultilevel"/>
    <w:tmpl w:val="1902C11C"/>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79DA66F1"/>
    <w:multiLevelType w:val="hybridMultilevel"/>
    <w:tmpl w:val="D27451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7CC321A3"/>
    <w:multiLevelType w:val="hybridMultilevel"/>
    <w:tmpl w:val="447248FE"/>
    <w:lvl w:ilvl="0" w:tplc="55865B6C">
      <w:start w:val="1"/>
      <w:numFmt w:val="bullet"/>
      <w:lvlText w:val=""/>
      <w:lvlJc w:val="left"/>
      <w:pPr>
        <w:tabs>
          <w:tab w:val="num" w:pos="360"/>
        </w:tabs>
        <w:ind w:left="36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num w:numId="1" w16cid:durableId="2074312468">
    <w:abstractNumId w:val="3"/>
  </w:num>
  <w:num w:numId="2" w16cid:durableId="706024457">
    <w:abstractNumId w:val="1"/>
  </w:num>
  <w:num w:numId="3" w16cid:durableId="572928920">
    <w:abstractNumId w:val="9"/>
  </w:num>
  <w:num w:numId="4" w16cid:durableId="336421535">
    <w:abstractNumId w:val="0"/>
  </w:num>
  <w:num w:numId="5" w16cid:durableId="1140801607">
    <w:abstractNumId w:val="4"/>
  </w:num>
  <w:num w:numId="6" w16cid:durableId="1242527319">
    <w:abstractNumId w:val="5"/>
  </w:num>
  <w:num w:numId="7" w16cid:durableId="481849393">
    <w:abstractNumId w:val="6"/>
  </w:num>
  <w:num w:numId="8" w16cid:durableId="1142698384">
    <w:abstractNumId w:val="2"/>
  </w:num>
  <w:num w:numId="9" w16cid:durableId="1882744661">
    <w:abstractNumId w:val="8"/>
  </w:num>
  <w:num w:numId="10" w16cid:durableId="92237436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6"/>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3305"/>
    <w:rsid w:val="00023B84"/>
    <w:rsid w:val="00030CB4"/>
    <w:rsid w:val="00040E7D"/>
    <w:rsid w:val="0004245D"/>
    <w:rsid w:val="00052DD1"/>
    <w:rsid w:val="00076556"/>
    <w:rsid w:val="000D325D"/>
    <w:rsid w:val="000D4F36"/>
    <w:rsid w:val="000E2C8D"/>
    <w:rsid w:val="000E71C5"/>
    <w:rsid w:val="000F1795"/>
    <w:rsid w:val="00100DC3"/>
    <w:rsid w:val="0010114C"/>
    <w:rsid w:val="0010647D"/>
    <w:rsid w:val="0011491F"/>
    <w:rsid w:val="001160E6"/>
    <w:rsid w:val="00141365"/>
    <w:rsid w:val="00162558"/>
    <w:rsid w:val="0016357A"/>
    <w:rsid w:val="00183B90"/>
    <w:rsid w:val="001A0266"/>
    <w:rsid w:val="001A3A2E"/>
    <w:rsid w:val="001B1E7A"/>
    <w:rsid w:val="001D6CB3"/>
    <w:rsid w:val="001E0BED"/>
    <w:rsid w:val="001E0C9C"/>
    <w:rsid w:val="001E39C3"/>
    <w:rsid w:val="00232E2B"/>
    <w:rsid w:val="00232F13"/>
    <w:rsid w:val="00234EF1"/>
    <w:rsid w:val="002478B9"/>
    <w:rsid w:val="00250652"/>
    <w:rsid w:val="00265E77"/>
    <w:rsid w:val="00273721"/>
    <w:rsid w:val="002770C3"/>
    <w:rsid w:val="00285732"/>
    <w:rsid w:val="00297D32"/>
    <w:rsid w:val="002B17F0"/>
    <w:rsid w:val="002C74A5"/>
    <w:rsid w:val="002E72E8"/>
    <w:rsid w:val="002F00E7"/>
    <w:rsid w:val="002F1826"/>
    <w:rsid w:val="00312076"/>
    <w:rsid w:val="00314A4B"/>
    <w:rsid w:val="00331D9D"/>
    <w:rsid w:val="003363FC"/>
    <w:rsid w:val="00337633"/>
    <w:rsid w:val="003479C1"/>
    <w:rsid w:val="00360140"/>
    <w:rsid w:val="003647CD"/>
    <w:rsid w:val="00364CC6"/>
    <w:rsid w:val="003659E6"/>
    <w:rsid w:val="0039363E"/>
    <w:rsid w:val="00396C35"/>
    <w:rsid w:val="003B13D1"/>
    <w:rsid w:val="003B53C2"/>
    <w:rsid w:val="003C7B21"/>
    <w:rsid w:val="003E3956"/>
    <w:rsid w:val="00413D1E"/>
    <w:rsid w:val="00436826"/>
    <w:rsid w:val="00440DA2"/>
    <w:rsid w:val="00447CC9"/>
    <w:rsid w:val="00451967"/>
    <w:rsid w:val="00464004"/>
    <w:rsid w:val="004757D9"/>
    <w:rsid w:val="00480F6A"/>
    <w:rsid w:val="0048506B"/>
    <w:rsid w:val="004D41E1"/>
    <w:rsid w:val="004D4A9A"/>
    <w:rsid w:val="004E6C94"/>
    <w:rsid w:val="004F448F"/>
    <w:rsid w:val="004F7BB5"/>
    <w:rsid w:val="00513224"/>
    <w:rsid w:val="00525F86"/>
    <w:rsid w:val="00530DC9"/>
    <w:rsid w:val="005377D7"/>
    <w:rsid w:val="005425DA"/>
    <w:rsid w:val="00547DE9"/>
    <w:rsid w:val="005B54B0"/>
    <w:rsid w:val="005B72C7"/>
    <w:rsid w:val="005C068F"/>
    <w:rsid w:val="005D6C76"/>
    <w:rsid w:val="005E4972"/>
    <w:rsid w:val="0060001D"/>
    <w:rsid w:val="006243AE"/>
    <w:rsid w:val="00632C10"/>
    <w:rsid w:val="00634BDE"/>
    <w:rsid w:val="00636596"/>
    <w:rsid w:val="0066245E"/>
    <w:rsid w:val="00674DE7"/>
    <w:rsid w:val="00686276"/>
    <w:rsid w:val="0069107B"/>
    <w:rsid w:val="00702FCC"/>
    <w:rsid w:val="00703322"/>
    <w:rsid w:val="007166FB"/>
    <w:rsid w:val="0074038C"/>
    <w:rsid w:val="0074064F"/>
    <w:rsid w:val="00757E03"/>
    <w:rsid w:val="0076074B"/>
    <w:rsid w:val="00774B00"/>
    <w:rsid w:val="0078102A"/>
    <w:rsid w:val="00783404"/>
    <w:rsid w:val="007F686E"/>
    <w:rsid w:val="00800A50"/>
    <w:rsid w:val="008017F9"/>
    <w:rsid w:val="00801A6D"/>
    <w:rsid w:val="008155A3"/>
    <w:rsid w:val="00822182"/>
    <w:rsid w:val="0082219D"/>
    <w:rsid w:val="00830FE5"/>
    <w:rsid w:val="00845957"/>
    <w:rsid w:val="0085320E"/>
    <w:rsid w:val="00856191"/>
    <w:rsid w:val="00856620"/>
    <w:rsid w:val="00862895"/>
    <w:rsid w:val="00865215"/>
    <w:rsid w:val="00876060"/>
    <w:rsid w:val="008839E2"/>
    <w:rsid w:val="008A2E35"/>
    <w:rsid w:val="008A47F1"/>
    <w:rsid w:val="008D3621"/>
    <w:rsid w:val="008D5E24"/>
    <w:rsid w:val="008D73E1"/>
    <w:rsid w:val="008F250D"/>
    <w:rsid w:val="008F671B"/>
    <w:rsid w:val="0093498F"/>
    <w:rsid w:val="00945232"/>
    <w:rsid w:val="009541BA"/>
    <w:rsid w:val="00982DE1"/>
    <w:rsid w:val="00990D45"/>
    <w:rsid w:val="0099453E"/>
    <w:rsid w:val="0099589D"/>
    <w:rsid w:val="009A3A09"/>
    <w:rsid w:val="009A4559"/>
    <w:rsid w:val="009B2F00"/>
    <w:rsid w:val="009B3FE6"/>
    <w:rsid w:val="009D5183"/>
    <w:rsid w:val="009F3BE2"/>
    <w:rsid w:val="00A21BDC"/>
    <w:rsid w:val="00A23FF9"/>
    <w:rsid w:val="00A338C6"/>
    <w:rsid w:val="00A40514"/>
    <w:rsid w:val="00A47E41"/>
    <w:rsid w:val="00A60FB3"/>
    <w:rsid w:val="00A62D23"/>
    <w:rsid w:val="00A707A4"/>
    <w:rsid w:val="00A7248E"/>
    <w:rsid w:val="00A87409"/>
    <w:rsid w:val="00A9363E"/>
    <w:rsid w:val="00AA006C"/>
    <w:rsid w:val="00AA0EC2"/>
    <w:rsid w:val="00AB0AF8"/>
    <w:rsid w:val="00AB75E9"/>
    <w:rsid w:val="00AC1B34"/>
    <w:rsid w:val="00AD37EB"/>
    <w:rsid w:val="00B0316B"/>
    <w:rsid w:val="00B14964"/>
    <w:rsid w:val="00B15B62"/>
    <w:rsid w:val="00B25D09"/>
    <w:rsid w:val="00B46AF0"/>
    <w:rsid w:val="00B477DB"/>
    <w:rsid w:val="00B609CA"/>
    <w:rsid w:val="00B772E1"/>
    <w:rsid w:val="00B8450B"/>
    <w:rsid w:val="00C03617"/>
    <w:rsid w:val="00C12690"/>
    <w:rsid w:val="00C453AD"/>
    <w:rsid w:val="00C5032E"/>
    <w:rsid w:val="00C54893"/>
    <w:rsid w:val="00C802F8"/>
    <w:rsid w:val="00C86B66"/>
    <w:rsid w:val="00CB7D42"/>
    <w:rsid w:val="00CC3D37"/>
    <w:rsid w:val="00CC5672"/>
    <w:rsid w:val="00CD3684"/>
    <w:rsid w:val="00CE3799"/>
    <w:rsid w:val="00CE797F"/>
    <w:rsid w:val="00CF3F5F"/>
    <w:rsid w:val="00D23B43"/>
    <w:rsid w:val="00D24564"/>
    <w:rsid w:val="00D26639"/>
    <w:rsid w:val="00D271A0"/>
    <w:rsid w:val="00D41530"/>
    <w:rsid w:val="00D423BB"/>
    <w:rsid w:val="00D608EF"/>
    <w:rsid w:val="00D958FD"/>
    <w:rsid w:val="00DB3B09"/>
    <w:rsid w:val="00DB5DB9"/>
    <w:rsid w:val="00DC3BC2"/>
    <w:rsid w:val="00DD5753"/>
    <w:rsid w:val="00E03B14"/>
    <w:rsid w:val="00E0790A"/>
    <w:rsid w:val="00E1228B"/>
    <w:rsid w:val="00E13F5E"/>
    <w:rsid w:val="00E236FD"/>
    <w:rsid w:val="00E43305"/>
    <w:rsid w:val="00E47931"/>
    <w:rsid w:val="00E6500E"/>
    <w:rsid w:val="00E81B94"/>
    <w:rsid w:val="00E832E8"/>
    <w:rsid w:val="00E8429D"/>
    <w:rsid w:val="00EB4BA7"/>
    <w:rsid w:val="00F0476A"/>
    <w:rsid w:val="00F15DA4"/>
    <w:rsid w:val="00F25176"/>
    <w:rsid w:val="00F32C2B"/>
    <w:rsid w:val="00F52826"/>
    <w:rsid w:val="00F5288C"/>
    <w:rsid w:val="00F71F85"/>
    <w:rsid w:val="00F87D6F"/>
    <w:rsid w:val="00F9030A"/>
    <w:rsid w:val="00FE612B"/>
    <w:rsid w:val="00FE6BA3"/>
    <w:rsid w:val="00FF0D4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EDD792"/>
  <w15:docId w15:val="{1B0D0DBC-5D4C-4140-B267-0588A5E00B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153"/>
        <w:tab w:val="right" w:pos="8306"/>
      </w:tabs>
    </w:pPr>
  </w:style>
  <w:style w:type="paragraph" w:styleId="Footer">
    <w:name w:val="footer"/>
    <w:basedOn w:val="Normal"/>
    <w:pPr>
      <w:tabs>
        <w:tab w:val="center" w:pos="4153"/>
        <w:tab w:val="right" w:pos="8306"/>
      </w:tabs>
    </w:pPr>
  </w:style>
  <w:style w:type="paragraph" w:styleId="BodyText">
    <w:name w:val="Body Text"/>
    <w:basedOn w:val="Normal"/>
    <w:pPr>
      <w:jc w:val="both"/>
    </w:pPr>
    <w:rPr>
      <w:rFonts w:ascii="Arial" w:hAnsi="Arial" w:cs="Arial"/>
      <w:sz w:val="32"/>
    </w:rPr>
  </w:style>
  <w:style w:type="paragraph" w:styleId="BodyText2">
    <w:name w:val="Body Text 2"/>
    <w:basedOn w:val="Normal"/>
    <w:pPr>
      <w:tabs>
        <w:tab w:val="left" w:pos="-1440"/>
        <w:tab w:val="left" w:pos="-720"/>
        <w:tab w:val="left" w:pos="0"/>
      </w:tabs>
      <w:suppressAutoHyphens/>
      <w:jc w:val="both"/>
    </w:pPr>
    <w:rPr>
      <w:rFonts w:ascii="Arial" w:hAnsi="Arial" w:cs="Arial"/>
      <w:bCs/>
      <w:iCs/>
    </w:rPr>
  </w:style>
  <w:style w:type="paragraph" w:styleId="BodyTextIndent">
    <w:name w:val="Body Text Indent"/>
    <w:basedOn w:val="Normal"/>
    <w:pPr>
      <w:keepNext/>
      <w:tabs>
        <w:tab w:val="left" w:pos="-1440"/>
        <w:tab w:val="left" w:pos="-720"/>
        <w:tab w:val="left" w:pos="0"/>
        <w:tab w:val="left" w:pos="360"/>
        <w:tab w:val="left" w:pos="720"/>
        <w:tab w:val="left" w:pos="1080"/>
        <w:tab w:val="left" w:pos="1440"/>
        <w:tab w:val="left" w:pos="1800"/>
        <w:tab w:val="left" w:pos="2160"/>
      </w:tabs>
      <w:suppressAutoHyphens/>
      <w:ind w:left="1080" w:hanging="1080"/>
      <w:jc w:val="both"/>
      <w:outlineLvl w:val="4"/>
    </w:pPr>
    <w:rPr>
      <w:rFonts w:ascii="Arial" w:hAnsi="Arial" w:cs="Arial"/>
      <w:b/>
      <w:i/>
      <w:sz w:val="28"/>
    </w:rPr>
  </w:style>
  <w:style w:type="paragraph" w:styleId="BodyText3">
    <w:name w:val="Body Text 3"/>
    <w:basedOn w:val="Normal"/>
    <w:pPr>
      <w:keepNext/>
      <w:tabs>
        <w:tab w:val="left" w:pos="-1440"/>
        <w:tab w:val="left" w:pos="-720"/>
        <w:tab w:val="left" w:pos="0"/>
        <w:tab w:val="left" w:pos="360"/>
        <w:tab w:val="left" w:pos="540"/>
        <w:tab w:val="left" w:pos="720"/>
        <w:tab w:val="left" w:pos="1440"/>
        <w:tab w:val="left" w:pos="1800"/>
        <w:tab w:val="left" w:pos="2160"/>
      </w:tabs>
      <w:suppressAutoHyphens/>
      <w:jc w:val="both"/>
      <w:outlineLvl w:val="4"/>
    </w:pPr>
    <w:rPr>
      <w:rFonts w:ascii="Arial" w:hAnsi="Arial" w:cs="Arial"/>
      <w:bCs/>
      <w:iCs/>
      <w:sz w:val="28"/>
    </w:rPr>
  </w:style>
  <w:style w:type="paragraph" w:styleId="BalloonText">
    <w:name w:val="Balloon Text"/>
    <w:basedOn w:val="Normal"/>
    <w:semiHidden/>
    <w:rsid w:val="00E832E8"/>
    <w:rPr>
      <w:rFonts w:ascii="Tahoma" w:hAnsi="Tahoma" w:cs="Tahoma"/>
      <w:sz w:val="16"/>
      <w:szCs w:val="16"/>
    </w:rPr>
  </w:style>
  <w:style w:type="character" w:styleId="Hyperlink">
    <w:name w:val="Hyperlink"/>
    <w:rsid w:val="00E81B94"/>
    <w:rPr>
      <w:color w:val="0000FF"/>
      <w:u w:val="single"/>
    </w:rPr>
  </w:style>
  <w:style w:type="character" w:styleId="UnresolvedMention">
    <w:name w:val="Unresolved Mention"/>
    <w:basedOn w:val="DefaultParagraphFont"/>
    <w:uiPriority w:val="99"/>
    <w:semiHidden/>
    <w:unhideWhenUsed/>
    <w:rsid w:val="00DC3BC2"/>
    <w:rPr>
      <w:color w:val="605E5C"/>
      <w:shd w:val="clear" w:color="auto" w:fill="E1DFDD"/>
    </w:rPr>
  </w:style>
  <w:style w:type="character" w:styleId="FollowedHyperlink">
    <w:name w:val="FollowedHyperlink"/>
    <w:basedOn w:val="DefaultParagraphFont"/>
    <w:semiHidden/>
    <w:unhideWhenUsed/>
    <w:rsid w:val="002770C3"/>
    <w:rPr>
      <w:color w:val="800080" w:themeColor="followedHyperlink"/>
      <w:u w:val="single"/>
    </w:rPr>
  </w:style>
  <w:style w:type="paragraph" w:styleId="ListParagraph">
    <w:name w:val="List Paragraph"/>
    <w:basedOn w:val="Normal"/>
    <w:uiPriority w:val="34"/>
    <w:qFormat/>
    <w:rsid w:val="00A9363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4423687">
      <w:bodyDiv w:val="1"/>
      <w:marLeft w:val="0"/>
      <w:marRight w:val="0"/>
      <w:marTop w:val="0"/>
      <w:marBottom w:val="0"/>
      <w:divBdr>
        <w:top w:val="none" w:sz="0" w:space="0" w:color="auto"/>
        <w:left w:val="none" w:sz="0" w:space="0" w:color="auto"/>
        <w:bottom w:val="none" w:sz="0" w:space="0" w:color="auto"/>
        <w:right w:val="none" w:sz="0" w:space="0" w:color="auto"/>
      </w:divBdr>
    </w:div>
    <w:div w:id="1347709438">
      <w:bodyDiv w:val="1"/>
      <w:marLeft w:val="0"/>
      <w:marRight w:val="0"/>
      <w:marTop w:val="0"/>
      <w:marBottom w:val="0"/>
      <w:divBdr>
        <w:top w:val="none" w:sz="0" w:space="0" w:color="auto"/>
        <w:left w:val="none" w:sz="0" w:space="0" w:color="auto"/>
        <w:bottom w:val="none" w:sz="0" w:space="0" w:color="auto"/>
        <w:right w:val="none" w:sz="0" w:space="0" w:color="auto"/>
      </w:divBdr>
    </w:div>
    <w:div w:id="13978218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3BD8BBF-8A0B-45AE-A6DA-7A94804CD8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1</Pages>
  <Words>8</Words>
  <Characters>48</Characters>
  <Application>Microsoft Office Word</Application>
  <DocSecurity>0</DocSecurity>
  <Lines>1</Lines>
  <Paragraphs>1</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CV/ CAREER SUMMARY INFORMATION</vt:lpstr>
      <vt:lpstr>CV/ CAREER SUMMARY INFORMATION</vt:lpstr>
    </vt:vector>
  </TitlesOfParts>
  <Company>Management School</Company>
  <LinksUpToDate>false</LinksUpToDate>
  <CharactersWithSpaces>55</CharactersWithSpaces>
  <SharedDoc>false</SharedDoc>
  <HLinks>
    <vt:vector size="6" baseType="variant">
      <vt:variant>
        <vt:i4>2424943</vt:i4>
      </vt:variant>
      <vt:variant>
        <vt:i4>0</vt:i4>
      </vt:variant>
      <vt:variant>
        <vt:i4>0</vt:i4>
      </vt:variant>
      <vt:variant>
        <vt:i4>5</vt:i4>
      </vt:variant>
      <vt:variant>
        <vt:lpwstr>https://www.wiki.ed.ac.uk/pages/viewpage.action?pageId=46563494</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CV/ CAREER SUMMARY INFORMATION</dc:title>
  <dc:subject/>
  <dc:creator>Jackie Clark</dc:creator>
  <cp:keywords/>
  <dc:description/>
  <cp:lastModifiedBy>Azamat Kanatuly</cp:lastModifiedBy>
  <cp:revision>25</cp:revision>
  <cp:lastPrinted>2012-08-22T12:07:00Z</cp:lastPrinted>
  <dcterms:created xsi:type="dcterms:W3CDTF">2025-07-11T11:27:00Z</dcterms:created>
  <dcterms:modified xsi:type="dcterms:W3CDTF">2025-07-14T05:43:00Z</dcterms:modified>
</cp:coreProperties>
</file>