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05:46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before="240"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https://www.store-dot.com/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 DSc</w:t>
      </w:r>
    </w:p>
    <w:p>
      <w:pPr>
        <w:spacing w:before="240"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None, SAM None, SOM None; Market Penetration: 0.0 %</w:t>
      </w:r>
    </w:p>
    <w:p>
      <w:pPr>
        <w:spacing w:line="360" w:lineRule="auto"/>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jc w:val="both"/>
      </w:pPr>
      <w:r>
        <w:rPr>
          <w:rFonts w:ascii="Times New Roman" w:hAnsi="Times New Roman"/>
          <w:sz w:val="24"/>
        </w:rPr>
        <w:t>Battery Technology</w:t>
      </w:r>
    </w:p>
    <w:p>
      <w:pPr>
        <w:spacing w:before="240" w:line="360" w:lineRule="auto" w:after="120"/>
        <w:jc w:val="both"/>
      </w:pPr>
      <w:r>
        <w:rPr>
          <w:rFonts w:ascii="Times New Roman" w:hAnsi="Times New Roman"/>
          <w:b/>
          <w:sz w:val="24"/>
        </w:rPr>
        <w:t>6. COMPETITORS</w:t>
      </w:r>
    </w:p>
    <w:p>
      <w:pPr>
        <w:spacing w:line="360" w:lineRule="auto"/>
        <w:jc w:val="both"/>
      </w:pPr>
      <w:r>
        <w:rPr>
          <w:rFonts w:ascii="Times New Roman" w:hAnsi="Times New Roman"/>
          <w:sz w:val="24"/>
        </w:rPr>
        <w:t>• QuantumScape: Focus on solidstate battery technology promising significant improvements in energy density and safety.</w:t>
      </w:r>
    </w:p>
    <w:p>
      <w:pPr>
        <w:spacing w:line="360" w:lineRule="auto"/>
        <w:jc w:val="both"/>
      </w:pPr>
      <w:r>
        <w:rPr>
          <w:rFonts w:ascii="Times New Roman" w:hAnsi="Times New Roman"/>
          <w:sz w:val="24"/>
        </w:rPr>
        <w:t>• Sila Nanotechnologies: Proprietary silicondominant anode materials improving battery performance without major changes to existing manufacturing.</w:t>
      </w:r>
    </w:p>
    <w:p>
      <w:pPr>
        <w:spacing w:line="360" w:lineRule="auto"/>
        <w:jc w:val="both"/>
      </w:pPr>
      <w:r>
        <w:rPr>
          <w:rFonts w:ascii="Times New Roman" w:hAnsi="Times New Roman"/>
          <w:sz w:val="24"/>
        </w:rPr>
        <w:t>• Solid Power: Focus on scalable solidstate battery manufacturing with sulfidebased electrolytes.</w:t>
      </w:r>
    </w:p>
    <w:p>
      <w:pPr>
        <w:spacing w:before="240"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reduce capital expenditure and accelerate mass adoption. Key customer segments include EV manufacturers and battery producers seeking to differentiate on charging speed and reliability, with go-to-market efforts evidenced by ongoing testing with over 15 OEMs and partners worldwide and a commercial readiness target around 2025. StoreDot’s technology claims superior cycle life (&gt;1200 XFC cycles) and cost alignment with industry trends, positioning it ahead of competing battery chemistries like solid-state batteries. Recent materials do not indicate a pivot but emphasize a clear roadmap toward semi-solid and post-lithium batteries by 2028 and 2032, respectively, maintaining a focus on fast charging and sustainability. Sources: StoreDot April 2023 Corporate Overview; UBS Global EV Battery Makers report (cited).</w:t>
      </w:r>
    </w:p>
    <w:p>
      <w:pPr>
        <w:spacing w:before="240"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 Technical Feasibility and Performance: N/A.</w:t>
      </w:r>
    </w:p>
    <w:p>
      <w:pPr>
        <w:spacing w:line="360" w:lineRule="auto"/>
        <w:jc w:val="both"/>
      </w:pPr>
      <w:r>
        <w:rPr>
          <w:rFonts w:ascii="Times New Roman" w:hAnsi="Times New Roman"/>
          <w:sz w:val="24"/>
        </w:rPr>
        <w:t>• Complexity: Not specified.</w:t>
      </w:r>
    </w:p>
    <w:p>
      <w:pPr>
        <w:spacing w:line="360" w:lineRule="auto"/>
        <w:jc w:val="both"/>
      </w:pPr>
      <w:r>
        <w:rPr>
          <w:rFonts w:ascii="Times New Roman" w:hAnsi="Times New Roman"/>
          <w:sz w:val="24"/>
        </w:rPr>
        <w:t>• Security: Product safety, data, and IP protection should be addressed.</w:t>
      </w:r>
    </w:p>
    <w:p>
      <w:pPr>
        <w:spacing w:line="360" w:lineRule="auto"/>
        <w:jc w:val="both"/>
      </w:pPr>
      <w:r>
        <w:rPr>
          <w:rFonts w:ascii="Times New Roman" w:hAnsi="Times New Roman"/>
          <w:sz w:val="24"/>
        </w:rPr>
        <w:t>• Implementation: Implementation details not specified.</w:t>
      </w:r>
    </w:p>
    <w:p>
      <w:pPr>
        <w:spacing w:before="240" w:line="360" w:lineRule="auto" w:after="120"/>
        <w:jc w:val="both"/>
      </w:pPr>
      <w:r>
        <w:rPr>
          <w:rFonts w:ascii="Times New Roman" w:hAnsi="Times New Roman"/>
          <w:b/>
          <w:sz w:val="24"/>
        </w:rPr>
        <w:t>Assumption Risks: Assumption risks not specified.</w:t>
      </w:r>
    </w:p>
    <w:p>
      <w:pPr>
        <w:spacing w:line="360" w:lineRule="auto"/>
        <w:jc w:val="both"/>
      </w:pPr>
      <w:r>
        <w:rPr>
          <w:rFonts w:ascii="Times New Roman" w:hAnsi="Times New Roman"/>
          <w:sz w:val="24"/>
        </w:rPr>
        <w:t>• Regulatory: Compliance with industry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jc w:val="both"/>
      </w:pPr>
      <w:r>
        <w:rPr>
          <w:rFonts w:ascii="Times New Roman" w:hAnsi="Times New Roman"/>
          <w:b/>
          <w:sz w:val="24"/>
        </w:rPr>
        <w:t>9. PRODUCT/SERVICE DESCRIPTION</w:t>
      </w:r>
    </w:p>
    <w:p>
      <w:pPr>
        <w:spacing w:line="360" w:lineRule="auto"/>
        <w:jc w:val="both"/>
      </w:pPr>
      <w:r>
        <w:rPr>
          <w:rFonts w:ascii="Times New Roman" w:hAnsi="Times New Roman"/>
          <w:sz w:val="24"/>
        </w:rPr>
        <w:t>StoreDot is a pioneering battery technology company specializing in extreme fast charging (XFC) solutions for electric vehicles (EVs). The company's core product is a silicon-dominant anode lithium-ion cell designed to deliver a 100-mile charge in just 5 minutes, addressing the prevalent issue of "charging anxiety" among EV users. StoreDot's business model involves licensing this innovative technology to original equipment manufacturers (OEMs) and manufacturing partners, allowing them to integrate the technology into existing lithium-ion production lines, thereby minimizing capital expenditure and expediting market penetration.</w:t>
      </w:r>
    </w:p>
    <w:p>
      <w:pPr>
        <w:spacing w:line="360" w:lineRule="auto"/>
        <w:jc w:val="both"/>
      </w:pPr>
      <w:r>
        <w:rPr>
          <w:rFonts w:ascii="Times New Roman" w:hAnsi="Times New Roman"/>
          <w:sz w:val="24"/>
        </w:rPr>
        <w:t>Key Features and Functionality:</w:t>
      </w:r>
    </w:p>
    <w:p>
      <w:pPr>
        <w:spacing w:line="360" w:lineRule="auto"/>
        <w:jc w:val="both"/>
      </w:pPr>
      <w:r>
        <w:rPr>
          <w:rFonts w:ascii="Times New Roman" w:hAnsi="Times New Roman"/>
          <w:sz w:val="24"/>
        </w:rPr>
        <w:t>• Silicondominant anode lithiumion cells.</w:t>
      </w:r>
    </w:p>
    <w:p>
      <w:pPr>
        <w:spacing w:line="360" w:lineRule="auto"/>
        <w:jc w:val="both"/>
      </w:pPr>
      <w:r>
        <w:rPr>
          <w:rFonts w:ascii="Times New Roman" w:hAnsi="Times New Roman"/>
          <w:sz w:val="24"/>
        </w:rPr>
        <w:t>• Capable of delivering a 100mile charge in 5 minutes.</w:t>
      </w:r>
    </w:p>
    <w:p>
      <w:pPr>
        <w:spacing w:line="360" w:lineRule="auto"/>
        <w:jc w:val="both"/>
      </w:pPr>
      <w:r>
        <w:rPr>
          <w:rFonts w:ascii="Times New Roman" w:hAnsi="Times New Roman"/>
          <w:sz w:val="24"/>
        </w:rPr>
        <w:t>• Designed for dropin compatibility with existing lithiumion production lines.</w:t>
      </w:r>
    </w:p>
    <w:p>
      <w:pPr>
        <w:spacing w:line="360" w:lineRule="auto"/>
        <w:jc w:val="both"/>
      </w:pPr>
      <w:r>
        <w:rPr>
          <w:rFonts w:ascii="Times New Roman" w:hAnsi="Times New Roman"/>
          <w:sz w:val="24"/>
        </w:rPr>
        <w:t>• Superior cycle life with over 1200 XFC cycles.</w:t>
      </w:r>
    </w:p>
    <w:p>
      <w:pPr>
        <w:spacing w:line="360" w:lineRule="auto"/>
        <w:jc w:val="both"/>
      </w:pPr>
      <w:r>
        <w:rPr>
          <w:rFonts w:ascii="Times New Roman" w:hAnsi="Times New Roman"/>
          <w:sz w:val="24"/>
        </w:rPr>
        <w:t>• Cost alignment with current industry trends.</w:t>
      </w:r>
    </w:p>
    <w:p>
      <w:pPr>
        <w:spacing w:line="360" w:lineRule="auto"/>
        <w:jc w:val="both"/>
      </w:pPr>
      <w:r>
        <w:rPr>
          <w:rFonts w:ascii="Times New Roman" w:hAnsi="Times New Roman"/>
          <w:sz w:val="24"/>
        </w:rPr>
        <w:t>Performance and Scalability:</w:t>
      </w:r>
    </w:p>
    <w:p>
      <w:pPr>
        <w:spacing w:line="360" w:lineRule="auto"/>
        <w:jc w:val="both"/>
      </w:pPr>
      <w:r>
        <w:rPr>
          <w:rFonts w:ascii="Times New Roman" w:hAnsi="Times New Roman"/>
          <w:sz w:val="24"/>
        </w:rPr>
        <w:t>• Proven scalability through licensing model, facilitating widespread adoption.</w:t>
      </w:r>
    </w:p>
    <w:p>
      <w:pPr>
        <w:spacing w:line="360" w:lineRule="auto"/>
        <w:jc w:val="both"/>
      </w:pPr>
      <w:r>
        <w:rPr>
          <w:rFonts w:ascii="Times New Roman" w:hAnsi="Times New Roman"/>
          <w:sz w:val="24"/>
        </w:rPr>
        <w:t>• Ongoing testing with over 15 OEMs and partners globally.</w:t>
      </w:r>
    </w:p>
    <w:p>
      <w:pPr>
        <w:spacing w:line="360" w:lineRule="auto"/>
        <w:jc w:val="both"/>
      </w:pPr>
      <w:r>
        <w:rPr>
          <w:rFonts w:ascii="Times New Roman" w:hAnsi="Times New Roman"/>
          <w:sz w:val="24"/>
        </w:rPr>
        <w:t>• Commercial readiness targeted for 2025.</w:t>
      </w:r>
    </w:p>
    <w:p>
      <w:pPr>
        <w:spacing w:line="360" w:lineRule="auto"/>
        <w:jc w:val="both"/>
      </w:pPr>
      <w:r>
        <w:rPr>
          <w:rFonts w:ascii="Times New Roman" w:hAnsi="Times New Roman"/>
          <w:sz w:val="24"/>
        </w:rPr>
        <w:t>Extensibility and Integration:</w:t>
      </w:r>
    </w:p>
    <w:p>
      <w:pPr>
        <w:spacing w:line="360" w:lineRule="auto"/>
        <w:jc w:val="both"/>
      </w:pPr>
      <w:r>
        <w:rPr>
          <w:rFonts w:ascii="Times New Roman" w:hAnsi="Times New Roman"/>
          <w:sz w:val="24"/>
        </w:rPr>
        <w:t>• Seamless integration with existing lithiumion production infrastructure.</w:t>
      </w:r>
    </w:p>
    <w:p>
      <w:pPr>
        <w:spacing w:line="360" w:lineRule="auto"/>
        <w:jc w:val="both"/>
      </w:pPr>
      <w:r>
        <w:rPr>
          <w:rFonts w:ascii="Times New Roman" w:hAnsi="Times New Roman"/>
          <w:sz w:val="24"/>
        </w:rPr>
        <w:t>• Licensing model allows for easy adoption by OEMs and battery producers.</w:t>
      </w:r>
    </w:p>
    <w:p>
      <w:pPr>
        <w:spacing w:line="360" w:lineRule="auto"/>
        <w:jc w:val="both"/>
      </w:pPr>
      <w:r>
        <w:rPr>
          <w:rFonts w:ascii="Times New Roman" w:hAnsi="Times New Roman"/>
          <w:sz w:val="24"/>
        </w:rPr>
        <w:t>Open-Source/Community Aspects:</w:t>
      </w:r>
    </w:p>
    <w:p>
      <w:pPr>
        <w:spacing w:line="360" w:lineRule="auto"/>
        <w:jc w:val="both"/>
      </w:pPr>
      <w:r>
        <w:rPr>
          <w:rFonts w:ascii="Times New Roman" w:hAnsi="Times New Roman"/>
          <w:sz w:val="24"/>
        </w:rPr>
        <w:t>• Not explicitly mentioned in the provided context.</w:t>
      </w:r>
    </w:p>
    <w:p>
      <w:pPr>
        <w:spacing w:line="360" w:lineRule="auto"/>
        <w:jc w:val="both"/>
      </w:pPr>
      <w:r>
        <w:rPr>
          <w:rFonts w:ascii="Times New Roman" w:hAnsi="Times New Roman"/>
          <w:sz w:val="24"/>
        </w:rPr>
        <w:t>Product Roadmap:</w:t>
      </w:r>
    </w:p>
    <w:p>
      <w:pPr>
        <w:spacing w:line="360" w:lineRule="auto"/>
        <w:jc w:val="both"/>
      </w:pPr>
      <w:r>
        <w:rPr>
          <w:rFonts w:ascii="Times New Roman" w:hAnsi="Times New Roman"/>
          <w:sz w:val="24"/>
        </w:rPr>
        <w:t>• Commercial readiness by 2025.</w:t>
      </w:r>
    </w:p>
    <w:p>
      <w:pPr>
        <w:spacing w:line="360" w:lineRule="auto"/>
        <w:jc w:val="both"/>
      </w:pPr>
      <w:r>
        <w:rPr>
          <w:rFonts w:ascii="Times New Roman" w:hAnsi="Times New Roman"/>
          <w:sz w:val="24"/>
        </w:rPr>
        <w:t>• Development of semisolid batteries by 2028.</w:t>
      </w:r>
    </w:p>
    <w:p>
      <w:pPr>
        <w:spacing w:line="360" w:lineRule="auto"/>
        <w:jc w:val="both"/>
      </w:pPr>
      <w:r>
        <w:rPr>
          <w:rFonts w:ascii="Times New Roman" w:hAnsi="Times New Roman"/>
          <w:sz w:val="24"/>
        </w:rPr>
        <w:t>• Transition to postlithium batteries by 2032.</w:t>
      </w:r>
    </w:p>
    <w:p>
      <w:pPr>
        <w:spacing w:line="360" w:lineRule="auto"/>
        <w:jc w:val="both"/>
      </w:pPr>
      <w:r>
        <w:rPr>
          <w:rFonts w:ascii="Times New Roman" w:hAnsi="Times New Roman"/>
          <w:sz w:val="24"/>
        </w:rPr>
        <w:t>Differentiation from Competitors:</w:t>
      </w:r>
    </w:p>
    <w:p>
      <w:pPr>
        <w:spacing w:line="360" w:lineRule="auto"/>
        <w:jc w:val="both"/>
      </w:pPr>
      <w:r>
        <w:rPr>
          <w:rFonts w:ascii="Times New Roman" w:hAnsi="Times New Roman"/>
          <w:sz w:val="24"/>
        </w:rPr>
        <w:t>StoreDot differentiates itself from competitors through its focus on extreme fast charging capabilities, which significantly reduce charging times compared to traditional and emerging battery technologies like solid-state batteries. The company's approach of leveraging existing production lines for scalability and cost-effectiveness further sets it apart.</w:t>
      </w:r>
    </w:p>
    <w:p>
      <w:pPr>
        <w:spacing w:line="360" w:lineRule="auto"/>
        <w:jc w:val="both"/>
      </w:pPr>
      <w:r>
        <w:rPr>
          <w:rFonts w:ascii="Times New Roman" w:hAnsi="Times New Roman"/>
          <w:sz w:val="24"/>
        </w:rPr>
        <w:t>Critical Analysis:</w:t>
      </w:r>
    </w:p>
    <w:p>
      <w:pPr>
        <w:spacing w:line="360" w:lineRule="auto"/>
        <w:jc w:val="both"/>
      </w:pPr>
      <w:r>
        <w:rPr>
          <w:rFonts w:ascii="Times New Roman" w:hAnsi="Times New Roman"/>
          <w:sz w:val="24"/>
        </w:rPr>
        <w:t>Strengths:</w:t>
      </w:r>
    </w:p>
    <w:p>
      <w:pPr>
        <w:spacing w:line="360" w:lineRule="auto"/>
        <w:jc w:val="both"/>
      </w:pPr>
      <w:r>
        <w:rPr>
          <w:rFonts w:ascii="Times New Roman" w:hAnsi="Times New Roman"/>
          <w:sz w:val="24"/>
        </w:rPr>
        <w:t>• The technology addresses a critical pain point in the EV market—charging anxiety.</w:t>
      </w:r>
    </w:p>
    <w:p>
      <w:pPr>
        <w:spacing w:line="360" w:lineRule="auto"/>
        <w:jc w:val="both"/>
      </w:pPr>
      <w:r>
        <w:rPr>
          <w:rFonts w:ascii="Times New Roman" w:hAnsi="Times New Roman"/>
          <w:sz w:val="24"/>
        </w:rPr>
        <w:t>• The licensing model is capitalefficient and accelerates market entry.</w:t>
      </w:r>
    </w:p>
    <w:p>
      <w:pPr>
        <w:spacing w:line="360" w:lineRule="auto"/>
        <w:jc w:val="both"/>
      </w:pPr>
      <w:r>
        <w:rPr>
          <w:rFonts w:ascii="Times New Roman" w:hAnsi="Times New Roman"/>
          <w:sz w:val="24"/>
        </w:rPr>
        <w:t>• The clear product roadmap demonstrates a longterm vision for technological evolution.</w:t>
      </w:r>
    </w:p>
    <w:p>
      <w:pPr>
        <w:spacing w:line="360" w:lineRule="auto"/>
        <w:jc w:val="both"/>
      </w:pPr>
      <w:r>
        <w:rPr>
          <w:rFonts w:ascii="Times New Roman" w:hAnsi="Times New Roman"/>
          <w:sz w:val="24"/>
        </w:rPr>
        <w:t>Areas Lacking Clarity or Detail:</w:t>
      </w:r>
    </w:p>
    <w:p>
      <w:pPr>
        <w:spacing w:line="360" w:lineRule="auto"/>
        <w:jc w:val="both"/>
      </w:pPr>
      <w:r>
        <w:rPr>
          <w:rFonts w:ascii="Times New Roman" w:hAnsi="Times New Roman"/>
          <w:sz w:val="24"/>
        </w:rPr>
        <w:t>• Specific details on the current status of product testing and validation.</w:t>
      </w:r>
    </w:p>
    <w:p>
      <w:pPr>
        <w:spacing w:line="360" w:lineRule="auto"/>
        <w:jc w:val="both"/>
      </w:pPr>
      <w:r>
        <w:rPr>
          <w:rFonts w:ascii="Times New Roman" w:hAnsi="Times New Roman"/>
          <w:sz w:val="24"/>
        </w:rPr>
        <w:t>• Information on potential challenges in achieving the ambitious charging times consistently.</w:t>
      </w:r>
    </w:p>
    <w:p>
      <w:pPr>
        <w:spacing w:line="360" w:lineRule="auto"/>
        <w:jc w:val="both"/>
      </w:pPr>
      <w:r>
        <w:rPr>
          <w:rFonts w:ascii="Times New Roman" w:hAnsi="Times New Roman"/>
          <w:sz w:val="24"/>
        </w:rPr>
        <w:t>• Lack of explicit mention of any community or opensource initiatives, which could enhance collaborative development and adoption.</w:t>
      </w:r>
    </w:p>
    <w:p>
      <w:pPr>
        <w:spacing w:before="240"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revenue/valuation projections unavailable due to missing SOM.</w:t>
      </w:r>
    </w:p>
    <w:p>
      <w:pPr>
        <w:spacing w:before="240"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 Team &amp; Management</w:t>
      </w:r>
    </w:p>
    <w:p>
      <w:pPr>
        <w:spacing w:line="360" w:lineRule="auto"/>
        <w:jc w:val="both"/>
      </w:pPr>
      <w:r>
        <w:rPr>
          <w:rFonts w:ascii="Times New Roman" w:hAnsi="Times New Roman"/>
          <w:sz w:val="24"/>
        </w:rPr>
        <w:t>The team at Storedot is led by a group of experienced professionals with diverse backgrounds in technology and business. The management team is a crucial asset to the company, given the complex and rapidly evolving nature of the battery technology sector. Below is a detailed analysis of the key team members:</w:t>
      </w:r>
    </w:p>
    <w:p>
      <w:pPr>
        <w:spacing w:line="360" w:lineRule="auto"/>
        <w:jc w:val="both"/>
      </w:pPr>
      <w:r>
        <w:rPr>
          <w:rFonts w:ascii="Times New Roman" w:hAnsi="Times New Roman"/>
          <w:sz w:val="24"/>
        </w:rPr>
        <w:t>• Doron Myersdorf, DSc  Founder</w:t>
      </w:r>
    </w:p>
    <w:p>
      <w:pPr>
        <w:spacing w:line="360" w:lineRule="auto"/>
        <w:jc w:val="both"/>
      </w:pPr>
      <w:r>
        <w:rPr>
          <w:rFonts w:ascii="Times New Roman" w:hAnsi="Times New Roman"/>
          <w:sz w:val="24"/>
        </w:rPr>
        <w:t>• LinkedIn: [Not provided]</w:t>
      </w:r>
    </w:p>
    <w:p>
      <w:pPr>
        <w:spacing w:line="360" w:lineRule="auto"/>
        <w:jc w:val="both"/>
      </w:pPr>
      <w:r>
        <w:rPr>
          <w:rFonts w:ascii="Times New Roman" w:hAnsi="Times New Roman"/>
          <w:sz w:val="24"/>
        </w:rPr>
        <w:t>• Short Bio/Track Record: Doron Myersdorf is the founder of Storedot and holds a Doctor of Science degree. He has a robust background in technology and innovation, which is critical in the battery technology sector. While specific details of his previous roles and achievements are not provided, his academic credentials suggest a strong foundation in scientific research and development.</w:t>
      </w:r>
    </w:p>
    <w:p>
      <w:pPr>
        <w:spacing w:line="360" w:lineRule="auto"/>
        <w:jc w:val="both"/>
      </w:pPr>
      <w:r>
        <w:rPr>
          <w:rFonts w:ascii="Times New Roman" w:hAnsi="Times New Roman"/>
          <w:sz w:val="24"/>
        </w:rPr>
        <w:t>• Prior Exits or Entrepreneurial Experience: Doron has not had any prior exits, which could be a potential risk factor as it indicates a lack of experience in successfully scaling and exiting a company. However, his deep technical expertise and commitment to Storedot are evident, as reflected in the founder fit score of 0.8, suggesting a strong alignment with the company's mission and vision.</w:t>
      </w:r>
    </w:p>
    <w:p>
      <w:pPr>
        <w:spacing w:line="360" w:lineRule="auto"/>
        <w:jc w:val="both"/>
      </w:pPr>
      <w:r>
        <w:rPr>
          <w:rFonts w:ascii="Times New Roman" w:hAnsi="Times New Roman"/>
          <w:sz w:val="24"/>
        </w:rPr>
        <w:t>• Team Strengths and Gaps: Doron's scientific expertise is a significant strength for Storedot, particularly in driving innovation and product development. However, the lack of prior exits may indicate a gap in experience with scaling operations and navigating the complexities of highgrowth phases. This could be mitigated by surrounding himself with seasoned executives who have complementary skills in business operations and strategic growth.</w:t>
      </w:r>
    </w:p>
    <w:p>
      <w:pPr>
        <w:spacing w:line="360" w:lineRule="auto"/>
        <w:jc w:val="both"/>
      </w:pPr>
      <w:r>
        <w:rPr>
          <w:rFonts w:ascii="Times New Roman" w:hAnsi="Times New Roman"/>
          <w:sz w:val="24"/>
        </w:rPr>
        <w:t>• CEO  [Name Not Provided]</w:t>
      </w:r>
    </w:p>
    <w:p>
      <w:pPr>
        <w:spacing w:line="360" w:lineRule="auto"/>
        <w:jc w:val="both"/>
      </w:pPr>
      <w:r>
        <w:rPr>
          <w:rFonts w:ascii="Times New Roman" w:hAnsi="Times New Roman"/>
          <w:sz w:val="24"/>
        </w:rPr>
        <w:t>• Short Bio/Track Record: Information about the CEO is not provided, which is a critical gap in understanding the leadership dynamics and strategic direction of Storedot. The CEO's experience, vision, and ability to execute are pivotal for the company's success, especially in a competitive and capitalintensive industry like battery technology.</w:t>
      </w:r>
    </w:p>
    <w:p>
      <w:pPr>
        <w:spacing w:line="360" w:lineRule="auto"/>
        <w:jc w:val="both"/>
      </w:pPr>
      <w:r>
        <w:rPr>
          <w:rFonts w:ascii="Times New Roman" w:hAnsi="Times New Roman"/>
          <w:sz w:val="24"/>
        </w:rPr>
        <w:t>• Prior Exits or Entrepreneurial Experience: Without specific details, it is challenging to assess the CEO's track record in leading companies through growth and exit phases. This lack of information presents a risk in evaluating the overall leadership capability of the team.</w:t>
      </w:r>
    </w:p>
    <w:p>
      <w:pPr>
        <w:spacing w:line="360" w:lineRule="auto"/>
        <w:jc w:val="both"/>
      </w:pPr>
      <w:r>
        <w:rPr>
          <w:rFonts w:ascii="Times New Roman" w:hAnsi="Times New Roman"/>
          <w:sz w:val="24"/>
        </w:rPr>
        <w:t>• Team Strengths and Gaps: The absence of detailed information about the CEO is a significant gap. It is crucial to understand the CEO's strategic vision, leadership style, and operational expertise to assess the company's potential for success.</w:t>
      </w:r>
    </w:p>
    <w:p>
      <w:pPr>
        <w:spacing w:line="360" w:lineRule="auto"/>
        <w:jc w:val="both"/>
      </w:pPr>
      <w:r>
        <w:rPr>
          <w:rFonts w:ascii="Times New Roman" w:hAnsi="Times New Roman"/>
          <w:sz w:val="24"/>
        </w:rPr>
        <w:t>• CTO  [Name Not Provided]</w:t>
      </w:r>
    </w:p>
    <w:p>
      <w:pPr>
        <w:spacing w:line="360" w:lineRule="auto"/>
        <w:jc w:val="both"/>
      </w:pPr>
      <w:r>
        <w:rPr>
          <w:rFonts w:ascii="Times New Roman" w:hAnsi="Times New Roman"/>
          <w:sz w:val="24"/>
        </w:rPr>
        <w:t>• Short Bio/Track Record: The Chief Technology Officer's details are not provided, which is a notable omission given the technical nature of Storedot's business. The CTO's role is critical in overseeing the development and implementation of cuttingedge battery technologies.</w:t>
      </w:r>
    </w:p>
    <w:p>
      <w:pPr>
        <w:spacing w:line="360" w:lineRule="auto"/>
        <w:jc w:val="both"/>
      </w:pPr>
      <w:r>
        <w:rPr>
          <w:rFonts w:ascii="Times New Roman" w:hAnsi="Times New Roman"/>
          <w:sz w:val="24"/>
        </w:rPr>
        <w:t>• Prior Exits or Entrepreneurial Experience: Without specific information, it is difficult to evaluate the CTO's experience in technology leadership and innovation management.</w:t>
      </w:r>
    </w:p>
    <w:p>
      <w:pPr>
        <w:spacing w:line="360" w:lineRule="auto"/>
        <w:jc w:val="both"/>
      </w:pPr>
      <w:r>
        <w:rPr>
          <w:rFonts w:ascii="Times New Roman" w:hAnsi="Times New Roman"/>
          <w:sz w:val="24"/>
        </w:rPr>
        <w:t>• Team Strengths and Gaps: The lack of information about the CTO represents a gap in understanding the technical leadership and innovation capabilities of Storedot. This is a potential risk, as the CTO's expertise is vital for maintaining a competitive edge in technology development.</w:t>
      </w:r>
    </w:p>
    <w:p>
      <w:pPr>
        <w:spacing w:line="360" w:lineRule="auto"/>
        <w:jc w:val="both"/>
      </w:pPr>
      <w:r>
        <w:rPr>
          <w:rFonts w:ascii="Times New Roman" w:hAnsi="Times New Roman"/>
          <w:sz w:val="24"/>
        </w:rPr>
        <w:t>• CFO  [Name Not Provided]</w:t>
      </w:r>
    </w:p>
    <w:p>
      <w:pPr>
        <w:spacing w:line="360" w:lineRule="auto"/>
        <w:jc w:val="both"/>
      </w:pPr>
      <w:r>
        <w:rPr>
          <w:rFonts w:ascii="Times New Roman" w:hAnsi="Times New Roman"/>
          <w:sz w:val="24"/>
        </w:rPr>
        <w:t>• Short Bio/Track Record: Details about the Chief Financial Officer are not provided, which is a critical gap in assessing the financial management and strategic planning capabilities of Storedot.</w:t>
      </w:r>
    </w:p>
    <w:p>
      <w:pPr>
        <w:spacing w:line="360" w:lineRule="auto"/>
        <w:jc w:val="both"/>
      </w:pPr>
      <w:r>
        <w:rPr>
          <w:rFonts w:ascii="Times New Roman" w:hAnsi="Times New Roman"/>
          <w:sz w:val="24"/>
        </w:rPr>
        <w:t>• Prior Exits or Entrepreneurial Experience: Without specific details, it is challenging to evaluate the CFO's experience in financial strategy, fundraising, and managing financial operations in highgrowth environments.</w:t>
      </w:r>
    </w:p>
    <w:p>
      <w:pPr>
        <w:spacing w:line="360" w:lineRule="auto"/>
        <w:jc w:val="both"/>
      </w:pPr>
      <w:r>
        <w:rPr>
          <w:rFonts w:ascii="Times New Roman" w:hAnsi="Times New Roman"/>
          <w:sz w:val="24"/>
        </w:rPr>
        <w:t>• Team Strengths and Gaps: The absence of information about the CFO is a significant gap. The CFO's expertise in financial management and strategic planning is crucial for ensuring the company's financial health and supporting its growth trajectory.</w:t>
      </w:r>
    </w:p>
    <w:p>
      <w:pPr>
        <w:spacing w:line="360" w:lineRule="auto"/>
        <w:jc w:val="both"/>
      </w:pPr>
      <w:r>
        <w:rPr>
          <w:rFonts w:ascii="Times New Roman" w:hAnsi="Times New Roman"/>
          <w:sz w:val="24"/>
        </w:rPr>
        <w:t>• Chairman  [Name Not Provided]</w:t>
      </w:r>
    </w:p>
    <w:p>
      <w:pPr>
        <w:spacing w:line="360" w:lineRule="auto"/>
        <w:jc w:val="both"/>
      </w:pPr>
      <w:r>
        <w:rPr>
          <w:rFonts w:ascii="Times New Roman" w:hAnsi="Times New Roman"/>
          <w:sz w:val="24"/>
        </w:rPr>
        <w:t>• Short Bio/Track Record: Information about the Chairman is not provided, which is a gap in understanding the governance and strategic oversight of Storedot.</w:t>
      </w:r>
    </w:p>
    <w:p>
      <w:pPr>
        <w:spacing w:line="360" w:lineRule="auto"/>
        <w:jc w:val="both"/>
      </w:pPr>
      <w:r>
        <w:rPr>
          <w:rFonts w:ascii="Times New Roman" w:hAnsi="Times New Roman"/>
          <w:sz w:val="24"/>
        </w:rPr>
        <w:t>• Prior Exits or Entrepreneurial Experience: Without specific details, it is difficult to assess the Chairman's experience in guiding companies through growth and exit phases.</w:t>
      </w:r>
    </w:p>
    <w:p>
      <w:pPr>
        <w:spacing w:line="360" w:lineRule="auto"/>
        <w:jc w:val="both"/>
      </w:pPr>
      <w:r>
        <w:rPr>
          <w:rFonts w:ascii="Times New Roman" w:hAnsi="Times New Roman"/>
          <w:sz w:val="24"/>
        </w:rPr>
        <w:t>• Team Strengths and Gaps: The lack of information about the Chairman is a notable gap. The Chairman's role in providing strategic oversight and governance is critical for the company's longterm success and alignment with shareholder interests.</w:t>
      </w:r>
    </w:p>
    <w:p>
      <w:pPr>
        <w:spacing w:line="360" w:lineRule="auto"/>
        <w:jc w:val="both"/>
      </w:pPr>
      <w:r>
        <w:rPr>
          <w:rFonts w:ascii="Times New Roman" w:hAnsi="Times New Roman"/>
          <w:sz w:val="24"/>
        </w:rPr>
        <w:t>• Overall Assessment</w:t>
      </w:r>
    </w:p>
    <w:p>
      <w:pPr>
        <w:spacing w:line="360" w:lineRule="auto"/>
        <w:jc w:val="both"/>
      </w:pPr>
      <w:r>
        <w:rPr>
          <w:rFonts w:ascii="Times New Roman" w:hAnsi="Times New Roman"/>
          <w:sz w:val="24"/>
        </w:rPr>
        <w:t>The Storedot management team has notable strengths in technical expertise, particularly with the founder's scientific background. However, significant gaps in information about the CEO, CTO, CFO, and Chairman hinder a comprehensive assessment of the team's overall capability. These gaps present risks in evaluating the leadership's ability to execute the company's strategic vision and navigate the challenges of the battery technology sector. It is recommended to seek further information on these key roles to better understand the team's strengths and address potential weaknesses.</w:t>
      </w:r>
    </w:p>
    <w:p>
      <w:pPr>
        <w:spacing w:before="240"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advancing extreme fast charging (XFC) lithium-ion battery technology aimed at accelerating electric vehicle (EV) adoption by drastically reducing charging times to about 10 minutes, addressing key consumer pain points like "charging anxiety" and infrastructure limitations. Their technology is scalable, compatible with existing Li-ion manufacturing, and designed with sustainability in mind, including cobalt content reduction and a semi-solid, dry production approach that may lower environmental impact. Socially, StoreDot’s innovation supports broader EV adoption, contributing to reduced greenhouse gas emissions and cleaner transportation. Governance appears robust with an experienced leadership team and advisory board from automotive and battery sectors, though detailed ESG policies or disclosures are not provided in the materials. No recent ESG controversies or regulatory issues were identified in available sources. Further data on StoreDot’s supply chain labor practices, carbon footprint, and detailed governance frameworks would enhance the ESG assessment.</w:t>
      </w:r>
    </w:p>
    <w:p>
      <w:pPr>
        <w:spacing w:before="240"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 Market Size Uncertainty</w:t>
      </w:r>
    </w:p>
    <w:p>
      <w:pPr>
        <w:spacing w:line="360" w:lineRule="auto"/>
        <w:jc w:val="both"/>
      </w:pPr>
      <w:r>
        <w:rPr>
          <w:rFonts w:ascii="Times New Roman" w:hAnsi="Times New Roman"/>
          <w:sz w:val="24"/>
        </w:rPr>
        <w:t>• Explanation: The market size for extreme fast charging (XFC) technology in electric vehicles (EVs) remains uncertain. While the EV market is growing, the specific demand for XFC technology is not welldefined. This uncertainty can impact StoreDot’s ability to forecast revenue and scale operations effectively.</w:t>
      </w:r>
    </w:p>
    <w:p>
      <w:pPr>
        <w:spacing w:line="360" w:lineRule="auto"/>
        <w:jc w:val="both"/>
      </w:pPr>
      <w:r>
        <w:rPr>
          <w:rFonts w:ascii="Times New Roman" w:hAnsi="Times New Roman"/>
          <w:sz w:val="24"/>
        </w:rPr>
        <w:t>• Mitigation: StoreDot can mitigate this risk by conducting comprehensive market research to better understand the potential demand for XFC technology. Additionally, they can engage with OEMs and industry stakeholders to gather insights and validate market assumptions.</w:t>
      </w:r>
    </w:p>
    <w:p>
      <w:pPr>
        <w:spacing w:line="360" w:lineRule="auto"/>
        <w:jc w:val="both"/>
      </w:pPr>
      <w:r>
        <w:rPr>
          <w:rFonts w:ascii="Times New Roman" w:hAnsi="Times New Roman"/>
          <w:sz w:val="24"/>
        </w:rPr>
        <w:t>• Competitive Landscape Ambiguity</w:t>
      </w:r>
    </w:p>
    <w:p>
      <w:pPr>
        <w:spacing w:line="360" w:lineRule="auto"/>
        <w:jc w:val="both"/>
      </w:pPr>
      <w:r>
        <w:rPr>
          <w:rFonts w:ascii="Times New Roman" w:hAnsi="Times New Roman"/>
          <w:sz w:val="24"/>
        </w:rPr>
        <w:t>• Explanation: The competitive landscape for battery technology is rapidly evolving, with numerous players developing alternative solutions such as solidstate batteries. The lack of clarity on StoreDot's competitive positioning could pose a threat to its market share and longterm viability.</w:t>
      </w:r>
    </w:p>
    <w:p>
      <w:pPr>
        <w:spacing w:line="360" w:lineRule="auto"/>
        <w:jc w:val="both"/>
      </w:pPr>
      <w:r>
        <w:rPr>
          <w:rFonts w:ascii="Times New Roman" w:hAnsi="Times New Roman"/>
          <w:sz w:val="24"/>
        </w:rPr>
        <w:t>• Mitigation: To address this risk, StoreDot should continuously monitor competitors and emerging technologies. Building strategic partnerships and maintaining a strong focus on innovation will be crucial to staying ahead in the competitive landscape.</w:t>
      </w:r>
    </w:p>
    <w:p>
      <w:pPr>
        <w:spacing w:line="360" w:lineRule="auto"/>
        <w:jc w:val="both"/>
      </w:pPr>
      <w:r>
        <w:rPr>
          <w:rFonts w:ascii="Times New Roman" w:hAnsi="Times New Roman"/>
          <w:sz w:val="24"/>
        </w:rPr>
        <w:t>• Financial Health Uncertainty</w:t>
      </w:r>
    </w:p>
    <w:p>
      <w:pPr>
        <w:spacing w:line="360" w:lineRule="auto"/>
        <w:jc w:val="both"/>
      </w:pPr>
      <w:r>
        <w:rPr>
          <w:rFonts w:ascii="Times New Roman" w:hAnsi="Times New Roman"/>
          <w:sz w:val="24"/>
        </w:rPr>
        <w:t>• Explanation: The absence of detailed financial information raises concerns about StoreDot's financial health and sustainability. Without clear insights into their financial position, it is challenging to assess their ability to fund ongoing R&amp;D and scale operations.</w:t>
      </w:r>
    </w:p>
    <w:p>
      <w:pPr>
        <w:spacing w:line="360" w:lineRule="auto"/>
        <w:jc w:val="both"/>
      </w:pPr>
      <w:r>
        <w:rPr>
          <w:rFonts w:ascii="Times New Roman" w:hAnsi="Times New Roman"/>
          <w:sz w:val="24"/>
        </w:rPr>
        <w:t>• Mitigation: StoreDot should prioritize transparency in financial reporting and consider securing additional funding to ensure sufficient capital for growth and development. Engaging with financial advisors could help optimize their financial strategy.</w:t>
      </w:r>
    </w:p>
    <w:p>
      <w:pPr>
        <w:spacing w:line="360" w:lineRule="auto"/>
        <w:jc w:val="both"/>
      </w:pPr>
      <w:r>
        <w:rPr>
          <w:rFonts w:ascii="Times New Roman" w:hAnsi="Times New Roman"/>
          <w:sz w:val="24"/>
        </w:rPr>
        <w:t>• Technology Maturity Concerns</w:t>
      </w:r>
    </w:p>
    <w:p>
      <w:pPr>
        <w:spacing w:line="360" w:lineRule="auto"/>
        <w:jc w:val="both"/>
      </w:pPr>
      <w:r>
        <w:rPr>
          <w:rFonts w:ascii="Times New Roman" w:hAnsi="Times New Roman"/>
          <w:sz w:val="24"/>
        </w:rPr>
        <w:t>• Explanation: The maturity of StoreDot's technology is uncertain, particularly in terms of scalability and realworld performance. If the technology does not meet expectations, it could hinder commercial adoption and damage credibility.</w:t>
      </w:r>
    </w:p>
    <w:p>
      <w:pPr>
        <w:spacing w:line="360" w:lineRule="auto"/>
        <w:jc w:val="both"/>
      </w:pPr>
      <w:r>
        <w:rPr>
          <w:rFonts w:ascii="Times New Roman" w:hAnsi="Times New Roman"/>
          <w:sz w:val="24"/>
        </w:rPr>
        <w:t>• Mitigation: StoreDot can mitigate this risk by accelerating pilot programs and field tests to validate technology performance. Collaborating with OEMs for realworld testing will provide valuable feedback and help refine the technology before fullscale deployment.</w:t>
      </w:r>
    </w:p>
    <w:p>
      <w:pPr>
        <w:spacing w:before="240" w:line="360" w:lineRule="auto" w:after="120"/>
        <w:jc w:val="both"/>
      </w:pPr>
      <w:r>
        <w:rPr>
          <w:rFonts w:ascii="Times New Roman" w:hAnsi="Times New Roman"/>
          <w:b/>
          <w:sz w:val="24"/>
        </w:rPr>
        <w:t>Regulatory Risks</w:t>
      </w:r>
    </w:p>
    <w:p>
      <w:pPr>
        <w:spacing w:line="360" w:lineRule="auto"/>
        <w:jc w:val="both"/>
      </w:pPr>
      <w:r>
        <w:rPr>
          <w:rFonts w:ascii="Times New Roman" w:hAnsi="Times New Roman"/>
          <w:sz w:val="24"/>
        </w:rPr>
        <w:t>• Explanation: The battery technology sector is subject to stringent regulatory requirements, which can vary significantly across regions. Noncompliance could result in delays, fines, or barriers to market entry, affecting StoreDot's growth prospects.</w:t>
      </w:r>
    </w:p>
    <w:p>
      <w:pPr>
        <w:spacing w:line="360" w:lineRule="auto"/>
        <w:jc w:val="both"/>
      </w:pPr>
      <w:r>
        <w:rPr>
          <w:rFonts w:ascii="Times New Roman" w:hAnsi="Times New Roman"/>
          <w:sz w:val="24"/>
        </w:rPr>
        <w:t>• Mitigation: StoreDot should invest in a robust regulatory compliance framework and engage with regulatory bodies early in the development process. Staying informed about regulatory changes and adapting quickly will be essential to mitigate this risk.</w:t>
      </w:r>
    </w:p>
    <w:p>
      <w:pPr>
        <w:spacing w:before="240"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significant potential for the EV market. With a 3-5 year lead on alternative solutions and ongoing testing by OEMs, StoreDot could be an attractive acquisition target for major players in the automotive industry looking to stay ahead in the EV market. An IPO could also be a viable exit strategy, given the technology's scalability and compatibility with existing manufacturing lines. However, more data on financials, market traction, and partnerships would be needed to provide a more detailed analysis of potential exit scenarios and timelines.</w:t>
      </w:r>
    </w:p>
    <w:p>
      <w:pPr>
        <w:spacing w:before="240"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Understand the degradation mechanisms tested and longterm reliability data beyond 1200 cycles.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any signed commercial agreements or LOIs with OEMs and timeline for volume production.</w:t>
      </w:r>
    </w:p>
    <w:p>
      <w:pPr>
        <w:spacing w:line="360" w:lineRule="auto"/>
        <w:jc w:val="both"/>
      </w:pPr>
      <w:r>
        <w:rPr>
          <w:rFonts w:ascii="Times New Roman" w:hAnsi="Times New Roman"/>
          <w:sz w:val="24"/>
        </w:rPr>
        <w:t>• Assess manufacturing scaleup risks and capacity commitments from partners.</w:t>
      </w:r>
    </w:p>
    <w:p>
      <w:pPr>
        <w:spacing w:line="360" w:lineRule="auto"/>
        <w:jc w:val="both"/>
      </w:pPr>
      <w:r>
        <w:rPr>
          <w:rFonts w:ascii="Times New Roman" w:hAnsi="Times New Roman"/>
          <w:b/>
          <w:sz w:val="24"/>
        </w:rPr>
        <w:t>Technology Roadmap &amp; Competitive Landscape</w:t>
      </w:r>
    </w:p>
    <w:p>
      <w:pPr>
        <w:spacing w:line="360" w:lineRule="auto"/>
        <w:jc w:val="both"/>
      </w:pPr>
      <w:r>
        <w:rPr>
          <w:rFonts w:ascii="Times New Roman" w:hAnsi="Times New Roman"/>
          <w:sz w:val="24"/>
        </w:rPr>
        <w:t>• Request detailed milestones and go/nogo criteria for production readiness in 2024 and 2028.</w:t>
      </w:r>
    </w:p>
    <w:p>
      <w:pPr>
        <w:spacing w:line="360" w:lineRule="auto"/>
        <w:jc w:val="both"/>
      </w:pPr>
      <w:r>
        <w:rPr>
          <w:rFonts w:ascii="Times New Roman" w:hAnsi="Times New Roman"/>
          <w:sz w:val="24"/>
        </w:rPr>
        <w:t>• Clarify the timeline and technical challenges for transitioning from siliconanode to semisolid and postlithium chemistries.</w:t>
      </w:r>
    </w:p>
    <w:p>
      <w:pPr>
        <w:spacing w:line="360" w:lineRule="auto"/>
        <w:jc w:val="both"/>
      </w:pPr>
      <w:r>
        <w:rPr>
          <w:rFonts w:ascii="Times New Roman" w:hAnsi="Times New Roman"/>
          <w:sz w:val="24"/>
        </w:rPr>
        <w:t>• Benchmark StoreDot’s technology against emerging solidstate and semisolid state batteries with respect to cost, performance, and scalability.</w:t>
      </w:r>
    </w:p>
    <w:p>
      <w:pPr>
        <w:spacing w:line="360" w:lineRule="auto"/>
        <w:jc w:val="both"/>
      </w:pPr>
      <w:r>
        <w:rPr>
          <w:rFonts w:ascii="Times New Roman" w:hAnsi="Times New Roman"/>
          <w:b/>
          <w:sz w:val="24"/>
        </w:rPr>
        <w:t>Cost Structure &amp; Unit Economics</w:t>
      </w:r>
    </w:p>
    <w:p>
      <w:pPr>
        <w:spacing w:line="360" w:lineRule="auto"/>
        <w:jc w:val="both"/>
      </w:pPr>
      <w:r>
        <w:rPr>
          <w:rFonts w:ascii="Times New Roman" w:hAnsi="Times New Roman"/>
          <w:sz w:val="24"/>
        </w:rPr>
        <w:t>• Obtain detailed cost breakdown per kWh and comparison to incumbent Liion batteries.</w:t>
      </w:r>
    </w:p>
    <w:p>
      <w:pPr>
        <w:spacing w:line="360" w:lineRule="auto"/>
        <w:jc w:val="both"/>
      </w:pPr>
      <w:r>
        <w:rPr>
          <w:rFonts w:ascii="Times New Roman" w:hAnsi="Times New Roman"/>
          <w:sz w:val="24"/>
        </w:rPr>
        <w:t>• Understand assumptions behind “competitive cost structure aligned with industry trajectory” and sensitivity to raw material price fluctuations.</w:t>
      </w:r>
    </w:p>
    <w:p>
      <w:pPr>
        <w:spacing w:line="360" w:lineRule="auto"/>
        <w:jc w:val="both"/>
      </w:pPr>
      <w:r>
        <w:rPr>
          <w:rFonts w:ascii="Times New Roman" w:hAnsi="Times New Roman"/>
          <w:sz w:val="24"/>
        </w:rPr>
        <w:t>• Evaluate licensing revenue model and expected margins.</w:t>
      </w:r>
    </w:p>
    <w:p>
      <w:pPr>
        <w:spacing w:line="360" w:lineRule="auto"/>
        <w:jc w:val="both"/>
      </w:pPr>
      <w:r>
        <w:rPr>
          <w:rFonts w:ascii="Times New Roman" w:hAnsi="Times New Roman"/>
          <w:b/>
          <w:sz w:val="24"/>
        </w:rPr>
        <w:t>Market Adoption &amp; Infrastructure</w:t>
      </w:r>
    </w:p>
    <w:p>
      <w:pPr>
        <w:spacing w:line="360" w:lineRule="auto"/>
        <w:jc w:val="both"/>
      </w:pPr>
      <w:r>
        <w:rPr>
          <w:rFonts w:ascii="Times New Roman" w:hAnsi="Times New Roman"/>
          <w:sz w:val="24"/>
        </w:rPr>
        <w:t>• Clarify StoreDot’s role and strategy in addressing charging infrastructure and standardization challenges.</w:t>
      </w:r>
    </w:p>
    <w:p>
      <w:pPr>
        <w:spacing w:line="360" w:lineRule="auto"/>
        <w:jc w:val="both"/>
      </w:pPr>
      <w:r>
        <w:rPr>
          <w:rFonts w:ascii="Times New Roman" w:hAnsi="Times New Roman"/>
          <w:sz w:val="24"/>
        </w:rPr>
        <w:t>• Assess gotomarket strategy for enabling widespread adoption of extreme fast charging, including partnerships with charging network operators.</w:t>
      </w:r>
    </w:p>
    <w:p>
      <w:pPr>
        <w:spacing w:line="360" w:lineRule="auto"/>
        <w:jc w:val="both"/>
      </w:pPr>
      <w:r>
        <w:rPr>
          <w:rFonts w:ascii="Times New Roman" w:hAnsi="Times New Roman"/>
          <w:b/>
          <w:sz w:val="24"/>
        </w:rPr>
        <w:t>Regulatory &amp;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Request details on cobalt reduction and other sustainability initiatives in the production process.</w:t>
      </w:r>
    </w:p>
    <w:p>
      <w:pPr>
        <w:spacing w:line="360" w:lineRule="auto"/>
        <w:jc w:val="both"/>
      </w:pPr>
      <w:r>
        <w:rPr>
          <w:rFonts w:ascii="Times New Roman" w:hAnsi="Times New Roman"/>
          <w:b/>
          <w:sz w:val="24"/>
        </w:rPr>
        <w:t>Financials &amp; Funding</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Understand funding history, current valuation, and planned use of proceeds.</w:t>
      </w:r>
    </w:p>
    <w:p>
      <w:pPr>
        <w:spacing w:line="360" w:lineRule="auto"/>
        <w:jc w:val="both"/>
      </w:pPr>
      <w:r>
        <w:rPr>
          <w:rFonts w:ascii="Times New Roman" w:hAnsi="Times New Roman"/>
          <w:sz w:val="24"/>
        </w:rPr>
        <w:t>• Clarify exit strategy and potential acquirers or IPO plans.</w:t>
      </w:r>
    </w:p>
    <w:p>
      <w:pPr>
        <w:spacing w:line="360" w:lineRule="auto"/>
        <w:jc w:val="both"/>
      </w:pPr>
      <w:r>
        <w:rPr>
          <w:rFonts w:ascii="Times New Roman" w:hAnsi="Times New Roman"/>
          <w:b/>
          <w:sz w:val="24"/>
        </w:rPr>
        <w:t>Team &amp; Execution Risk</w:t>
      </w:r>
    </w:p>
    <w:p>
      <w:pPr>
        <w:spacing w:line="360" w:lineRule="auto"/>
        <w:jc w:val="both"/>
      </w:pPr>
      <w:r>
        <w:rPr>
          <w:rFonts w:ascii="Times New Roman" w:hAnsi="Times New Roman"/>
          <w:sz w:val="24"/>
        </w:rPr>
        <w:t>• Validate key team members’ backgrounds and track record in battery commercialization.</w:t>
      </w:r>
    </w:p>
    <w:p>
      <w:pPr>
        <w:spacing w:line="360" w:lineRule="auto"/>
        <w:jc w:val="both"/>
      </w:pPr>
      <w:r>
        <w:rPr>
          <w:rFonts w:ascii="Times New Roman" w:hAnsi="Times New Roman"/>
          <w:sz w:val="24"/>
        </w:rPr>
        <w:t>• Assess organizational readiness for rapid scaleup and potential talent gaps.</w:t>
      </w:r>
    </w:p>
    <w:p>
      <w:pPr>
        <w:spacing w:line="360" w:lineRule="auto"/>
        <w:jc w:val="both"/>
      </w:pPr>
      <w:r>
        <w:rPr>
          <w:rFonts w:ascii="Times New Roman" w:hAnsi="Times New Roman"/>
          <w:b/>
          <w:sz w:val="24"/>
        </w:rPr>
        <w:t>Next Steps</w:t>
      </w:r>
    </w:p>
    <w:p>
      <w:pPr>
        <w:spacing w:line="360" w:lineRule="auto"/>
        <w:jc w:val="both"/>
      </w:pPr>
      <w:r>
        <w:rPr>
          <w:rFonts w:ascii="Times New Roman" w:hAnsi="Times New Roman"/>
          <w:sz w:val="24"/>
        </w:rPr>
        <w:t>• Schedule technical deepdive with R&amp;D and IP teams.</w:t>
      </w:r>
    </w:p>
    <w:p>
      <w:pPr>
        <w:spacing w:line="360" w:lineRule="auto"/>
        <w:jc w:val="both"/>
      </w:pPr>
      <w:r>
        <w:rPr>
          <w:rFonts w:ascii="Times New Roman" w:hAnsi="Times New Roman"/>
          <w:sz w:val="24"/>
        </w:rPr>
        <w:t>• Conduct reference calls with OEM partners.</w:t>
      </w:r>
    </w:p>
    <w:p>
      <w:pPr>
        <w:spacing w:line="360" w:lineRule="auto"/>
        <w:jc w:val="both"/>
      </w:pPr>
      <w:r>
        <w:rPr>
          <w:rFonts w:ascii="Times New Roman" w:hAnsi="Times New Roman"/>
          <w:sz w:val="24"/>
        </w:rPr>
        <w:t>• Engage independent battery experts for technology due diligence.</w:t>
      </w:r>
    </w:p>
    <w:p>
      <w:pPr>
        <w:spacing w:line="360" w:lineRule="auto"/>
        <w:jc w:val="both"/>
      </w:pPr>
      <w:r>
        <w:rPr>
          <w:rFonts w:ascii="Times New Roman" w:hAnsi="Times New Roman"/>
          <w:sz w:val="24"/>
        </w:rPr>
        <w:t>• Review detailed financial model and unit economics.</w:t>
      </w:r>
    </w:p>
    <w:p>
      <w:pPr>
        <w:spacing w:line="360" w:lineRule="auto"/>
        <w:jc w:val="both"/>
      </w:pPr>
      <w:r>
        <w:rPr>
          <w:rFonts w:ascii="Times New Roman" w:hAnsi="Times New Roman"/>
          <w:sz w:val="24"/>
        </w:rPr>
        <w:t>• Monitor competitive developments in XFC and solidstate batteries.</w:t>
      </w:r>
    </w:p>
    <w:p>
      <w:pPr>
        <w:spacing w:line="360" w:lineRule="auto"/>
        <w:jc w:val="both"/>
      </w:pPr>
      <w:r>
        <w:rPr>
          <w:rFonts w:ascii="Times New Roman" w:hAnsi="Times New Roman"/>
          <w:sz w:val="24"/>
        </w:rPr>
        <w:t>• If these points are addressed satisfactorily, proceed to term sheet drafting.</w:t>
      </w:r>
    </w:p>
    <w:p>
      <w:pPr>
        <w:spacing w:before="240" w:line="360" w:lineRule="auto" w:after="120"/>
        <w:jc w:val="both"/>
      </w:pPr>
      <w:r>
        <w:rPr>
          <w:rFonts w:ascii="Times New Roman" w:hAnsi="Times New Roman"/>
          <w:b/>
          <w:sz w:val="24"/>
        </w:rPr>
        <w:t>16. FIGURES &amp; VISUALS</w:t>
      </w:r>
    </w:p>
    <w:p>
      <w:pPr>
        <w:spacing w:before="240" w:line="360" w:lineRule="auto" w:after="120"/>
        <w:jc w:val="both"/>
      </w:pPr>
      <w:r>
        <w:rPr>
          <w:rFonts w:ascii="Times New Roman" w:hAnsi="Times New Roman"/>
          <w:b/>
          <w:sz w:val="24"/>
        </w:rPr>
        <w:t>17. APPENDIX: ADDITIONAL TABLES</w:t>
      </w:r>
    </w:p>
    <w:p>
      <w:pPr>
        <w:spacing w:before="240" w:line="360" w:lineRule="auto" w:after="120"/>
        <w:jc w:val="both"/>
      </w:pPr>
      <w:r>
        <w:rPr>
          <w:rFonts w:ascii="Times New Roman" w:hAnsi="Times New Roman"/>
          <w:b/>
          <w:sz w:val="24"/>
        </w:rPr>
        <w:t>18. DISCUSSION &amp; ANALYST COMMENTARY</w:t>
      </w:r>
    </w:p>
    <w:p>
      <w:pPr>
        <w:spacing w:before="240" w:line="360" w:lineRule="auto" w:after="120"/>
        <w:jc w:val="both"/>
      </w:pPr>
      <w:r>
        <w:rPr>
          <w:rFonts w:ascii="Times New Roman" w:hAnsi="Times New Roman"/>
          <w:b/>
          <w:sz w:val="24"/>
        </w:rPr>
        <w:t>Analyst Commentary on StoreDot Investment Memo</w:t>
      </w:r>
    </w:p>
    <w:p>
      <w:pPr>
        <w:spacing w:line="360" w:lineRule="auto"/>
        <w:jc w:val="both"/>
      </w:pPr>
      <w:r>
        <w:rPr>
          <w:rFonts w:ascii="Times New Roman" w:hAnsi="Times New Roman"/>
          <w:sz w:val="24"/>
        </w:rPr>
        <w:t>•</w:t>
      </w:r>
    </w:p>
    <w:p>
      <w:pPr>
        <w:spacing w:before="240" w:line="360" w:lineRule="auto" w:after="120"/>
        <w:jc w:val="both"/>
      </w:pPr>
      <w:r>
        <w:rPr>
          <w:rFonts w:ascii="Times New Roman" w:hAnsi="Times New Roman"/>
          <w:b/>
          <w:sz w:val="24"/>
        </w:rPr>
        <w:t>Key Strengths</w:t>
      </w:r>
    </w:p>
    <w:p>
      <w:pPr>
        <w:spacing w:line="360" w:lineRule="auto"/>
        <w:jc w:val="both"/>
      </w:pPr>
      <w:r>
        <w:rPr>
          <w:rFonts w:ascii="Times New Roman" w:hAnsi="Times New Roman"/>
          <w:sz w:val="24"/>
        </w:rPr>
        <w:t>• Compelling Technology Focus: StoreDot addresses a critical EV adoption barrier—charging anxiety—by enabling extreme fast charging (XFC) with a silicondominant anode lithiumion battery capable of delivering 100 miles of range in 510 minutes. This is a meaningful improvement over current charging speeds and directly targets a major consumer pain point.</w:t>
      </w:r>
    </w:p>
    <w:p>
      <w:pPr>
        <w:spacing w:line="360" w:lineRule="auto"/>
        <w:jc w:val="both"/>
      </w:pPr>
      <w:r>
        <w:rPr>
          <w:rFonts w:ascii="Times New Roman" w:hAnsi="Times New Roman"/>
          <w:sz w:val="24"/>
        </w:rPr>
        <w:t>• Licensing Business Model: The choice to license dropin compatible technology to OEMs and battery manufacturers leverages existing lithiumion production infrastructure, reducing capital intensity and accelerating scalability. This capitalefficient model can facilitate faster market penetration and reduce execution risk compared to vertically integrated battery manufacturers.</w:t>
      </w:r>
    </w:p>
    <w:p>
      <w:pPr>
        <w:spacing w:line="360" w:lineRule="auto"/>
        <w:jc w:val="both"/>
      </w:pPr>
      <w:r>
        <w:rPr>
          <w:rFonts w:ascii="Times New Roman" w:hAnsi="Times New Roman"/>
          <w:sz w:val="24"/>
        </w:rPr>
        <w:t>• Strong IP Position: With 78 granted US patents and 22 pending, StoreDot has built a defensible intellectual property moat, which is critical in the highly competitive battery tech space.</w:t>
      </w:r>
    </w:p>
    <w:p>
      <w:pPr>
        <w:spacing w:line="360" w:lineRule="auto"/>
        <w:jc w:val="both"/>
      </w:pPr>
      <w:r>
        <w:rPr>
          <w:rFonts w:ascii="Times New Roman" w:hAnsi="Times New Roman"/>
          <w:sz w:val="24"/>
        </w:rPr>
        <w:t>• OEM Engagement: Partnerships and ongoing testing with over 15 OEMs and manufacturing partners demonstrate early market validation and potential for commercial adoption.</w:t>
      </w:r>
    </w:p>
    <w:p>
      <w:pPr>
        <w:spacing w:line="360" w:lineRule="auto"/>
        <w:jc w:val="both"/>
      </w:pPr>
      <w:r>
        <w:rPr>
          <w:rFonts w:ascii="Times New Roman" w:hAnsi="Times New Roman"/>
          <w:sz w:val="24"/>
        </w:rPr>
        <w:t>• Clear Technology Roadmap: The company has a multistage plan extending from XFC lithiumion batteries (2025) to semisolid (2028) and postlithium chemistries (2032), indicating longterm vision and adaptability.</w:t>
      </w:r>
    </w:p>
    <w:p>
      <w:pPr>
        <w:spacing w:line="360" w:lineRule="auto"/>
        <w:jc w:val="both"/>
      </w:pPr>
      <w:r>
        <w:rPr>
          <w:rFonts w:ascii="Times New Roman" w:hAnsi="Times New Roman"/>
          <w:sz w:val="24"/>
        </w:rPr>
        <w:t>• ESG Alignment: The technology supports sustainability goals by enabling EV adoption, reducing cobalt content, and potentially lowering environmental impact through semisolid, dry production methods.</w:t>
      </w:r>
    </w:p>
    <w:p>
      <w:pPr>
        <w:spacing w:before="240" w:line="360" w:lineRule="auto" w:after="120"/>
        <w:jc w:val="both"/>
      </w:pPr>
      <w:r>
        <w:rPr>
          <w:rFonts w:ascii="Times New Roman" w:hAnsi="Times New Roman"/>
          <w:b/>
          <w:sz w:val="24"/>
        </w:rPr>
        <w:t>Key Weaknesses &amp; Gaps</w:t>
      </w:r>
    </w:p>
    <w:p>
      <w:pPr>
        <w:spacing w:line="360" w:lineRule="auto"/>
        <w:jc w:val="both"/>
      </w:pPr>
      <w:r>
        <w:rPr>
          <w:rFonts w:ascii="Times New Roman" w:hAnsi="Times New Roman"/>
          <w:sz w:val="24"/>
        </w:rPr>
        <w:t>• Lack of Financial Transparency: No financial data, funding history, burn rate, or valuation details are provided. This opacity limits assessment of financial health, runway, and capital requirements.</w:t>
      </w:r>
    </w:p>
    <w:p>
      <w:pPr>
        <w:spacing w:line="360" w:lineRule="auto"/>
        <w:jc w:val="both"/>
      </w:pPr>
      <w:r>
        <w:rPr>
          <w:rFonts w:ascii="Times New Roman" w:hAnsi="Times New Roman"/>
          <w:sz w:val="24"/>
        </w:rPr>
        <w:t>• Incomplete Team Information: Critical leadership roles (CEO, CTO, CFO, Chairman) lack disclosed identities and track records. This raises concerns about execution capability, especially scaling and commercialization expertise.</w:t>
      </w:r>
    </w:p>
    <w:p>
      <w:pPr>
        <w:spacing w:line="360" w:lineRule="auto"/>
        <w:jc w:val="both"/>
      </w:pPr>
      <w:r>
        <w:rPr>
          <w:rFonts w:ascii="Times New Roman" w:hAnsi="Times New Roman"/>
          <w:sz w:val="24"/>
        </w:rPr>
        <w:t>• Unverified Technical Claims: Independent validation of the 510 minute charging claim, cycle life (&gt;1200 XFC cycles), safety, and degradation mechanisms is absent. Without thirdparty testing, technology maturity and reliability remain uncertain.</w:t>
      </w:r>
    </w:p>
    <w:p>
      <w:pPr>
        <w:spacing w:line="360" w:lineRule="auto"/>
        <w:jc w:val="both"/>
      </w:pPr>
      <w:r>
        <w:rPr>
          <w:rFonts w:ascii="Times New Roman" w:hAnsi="Times New Roman"/>
          <w:sz w:val="24"/>
        </w:rPr>
        <w:t>• Market Size &amp; Adoption Uncertainty: No quantified TAM, SAM, or SOM figures are provided. The specific demand for XFC batteries is unclear, complicating revenue projections and growth potential assessment.</w:t>
      </w:r>
    </w:p>
    <w:p>
      <w:pPr>
        <w:spacing w:line="360" w:lineRule="auto"/>
        <w:jc w:val="both"/>
      </w:pPr>
      <w:r>
        <w:rPr>
          <w:rFonts w:ascii="Times New Roman" w:hAnsi="Times New Roman"/>
          <w:sz w:val="24"/>
        </w:rPr>
        <w:t>• Competitive Landscape Ambiguity: While competitors like QuantumScape and Sila Nanotechnologies are noted, StoreDot’s relative advantages and vulnerabilities versus emerging solidstate and other chemistries require further benchmarking.</w:t>
      </w:r>
    </w:p>
    <w:p>
      <w:pPr>
        <w:spacing w:line="360" w:lineRule="auto"/>
        <w:jc w:val="both"/>
      </w:pPr>
      <w:r>
        <w:rPr>
          <w:rFonts w:ascii="Times New Roman" w:hAnsi="Times New Roman"/>
          <w:sz w:val="24"/>
        </w:rPr>
        <w:t>• Regulatory &amp; Safety Details Missing: Compliance with global automotive and battery safety standards is not explicitly confirmed, posing potential gotomarket risks.</w:t>
      </w:r>
    </w:p>
    <w:p>
      <w:pPr>
        <w:spacing w:before="240" w:line="360" w:lineRule="auto" w:after="120"/>
        <w:jc w:val="both"/>
      </w:pPr>
      <w:r>
        <w:rPr>
          <w:rFonts w:ascii="Times New Roman" w:hAnsi="Times New Roman"/>
          <w:b/>
          <w:sz w:val="24"/>
        </w:rPr>
        <w:t>Manufacturing Scale-Up Risks: Details on manufacturing capacity, partner commitments, and supply chain robustness are not disclosed.</w:t>
      </w:r>
    </w:p>
    <w:p>
      <w:pPr>
        <w:spacing w:before="240" w:line="360" w:lineRule="auto" w:after="120"/>
        <w:jc w:val="both"/>
      </w:pPr>
      <w:r>
        <w:rPr>
          <w:rFonts w:ascii="Times New Roman" w:hAnsi="Times New Roman"/>
          <w:b/>
          <w:sz w:val="24"/>
        </w:rPr>
        <w:t>Opportunities</w:t>
      </w:r>
    </w:p>
    <w:p>
      <w:pPr>
        <w:spacing w:line="360" w:lineRule="auto"/>
        <w:jc w:val="both"/>
      </w:pPr>
      <w:r>
        <w:rPr>
          <w:rFonts w:ascii="Times New Roman" w:hAnsi="Times New Roman"/>
          <w:sz w:val="24"/>
        </w:rPr>
        <w:t>• FirstMover Advantage in XFC: StoreDot’s lead time (35 years) over solidstate battery commercialization could allow it to capture significant market share in fastcharging solutions.</w:t>
      </w:r>
    </w:p>
    <w:p>
      <w:pPr>
        <w:spacing w:line="360" w:lineRule="auto"/>
        <w:jc w:val="both"/>
      </w:pPr>
      <w:r>
        <w:rPr>
          <w:rFonts w:ascii="Times New Roman" w:hAnsi="Times New Roman"/>
          <w:sz w:val="24"/>
        </w:rPr>
        <w:t>• Strategic OEM Partnerships: Deepening relationships with OEMs can lead to early adoption, codevelopment, and potential exclusivity agreements.</w:t>
      </w:r>
    </w:p>
    <w:p>
      <w:pPr>
        <w:spacing w:line="360" w:lineRule="auto"/>
        <w:jc w:val="both"/>
      </w:pPr>
      <w:r>
        <w:rPr>
          <w:rFonts w:ascii="Times New Roman" w:hAnsi="Times New Roman"/>
          <w:sz w:val="24"/>
        </w:rPr>
        <w:t>• Licensing Revenue Potential: The scalable licensing model can generate recurring revenue streams with high margins once commercialized.</w:t>
      </w:r>
    </w:p>
    <w:p>
      <w:pPr>
        <w:spacing w:line="360" w:lineRule="auto"/>
        <w:jc w:val="both"/>
      </w:pPr>
      <w:r>
        <w:rPr>
          <w:rFonts w:ascii="Times New Roman" w:hAnsi="Times New Roman"/>
          <w:sz w:val="24"/>
        </w:rPr>
        <w:t>• Expansion into Adjacent Markets: The technology could be adapted for other applications requiring fast charging and high cycle life, such as ebikes, scooters, or grid storage.</w:t>
      </w:r>
    </w:p>
    <w:p>
      <w:pPr>
        <w:spacing w:line="360" w:lineRule="auto"/>
        <w:jc w:val="both"/>
      </w:pPr>
      <w:r>
        <w:rPr>
          <w:rFonts w:ascii="Times New Roman" w:hAnsi="Times New Roman"/>
          <w:sz w:val="24"/>
        </w:rPr>
        <w:t>• ESG &amp; Regulatory Tailwinds: Increasing regulatory mandates for EV adoption and sustainability can accelerate demand for StoreDot’s technology.</w:t>
      </w:r>
    </w:p>
    <w:p>
      <w:pPr>
        <w:spacing w:before="240" w:line="360" w:lineRule="auto" w:after="120"/>
        <w:jc w:val="both"/>
      </w:pPr>
      <w:r>
        <w:rPr>
          <w:rFonts w:ascii="Times New Roman" w:hAnsi="Times New Roman"/>
          <w:b/>
          <w:sz w:val="24"/>
        </w:rPr>
        <w:t>Risks</w:t>
      </w:r>
    </w:p>
    <w:p>
      <w:pPr>
        <w:spacing w:line="360" w:lineRule="auto"/>
        <w:jc w:val="both"/>
      </w:pPr>
      <w:r>
        <w:rPr>
          <w:rFonts w:ascii="Times New Roman" w:hAnsi="Times New Roman"/>
          <w:sz w:val="24"/>
        </w:rPr>
        <w:t>• Technology Execution Risk: Failure to meet performance, safety, or durability targets could delay commercialization or damage reputation.</w:t>
      </w:r>
    </w:p>
    <w:p>
      <w:pPr>
        <w:spacing w:line="360" w:lineRule="auto"/>
        <w:jc w:val="both"/>
      </w:pPr>
      <w:r>
        <w:rPr>
          <w:rFonts w:ascii="Times New Roman" w:hAnsi="Times New Roman"/>
          <w:sz w:val="24"/>
        </w:rPr>
        <w:t>• Market Adoption Risk: OEMs may hesitate to adopt new battery chemistries without extensive validation, especially given the critical safety and reliability requirements.</w:t>
      </w:r>
    </w:p>
    <w:p>
      <w:pPr>
        <w:spacing w:line="360" w:lineRule="auto"/>
        <w:jc w:val="both"/>
      </w:pPr>
      <w:r>
        <w:rPr>
          <w:rFonts w:ascii="Times New Roman" w:hAnsi="Times New Roman"/>
          <w:sz w:val="24"/>
        </w:rPr>
        <w:t>• Competitive Disruption: Solidstate batteries or other emerging chemistries could leapfrog StoreDot’s siliconanode approach, eroding its market opportunity.</w:t>
      </w:r>
    </w:p>
    <w:p>
      <w:pPr>
        <w:spacing w:line="360" w:lineRule="auto"/>
        <w:jc w:val="both"/>
      </w:pPr>
      <w:r>
        <w:rPr>
          <w:rFonts w:ascii="Times New Roman" w:hAnsi="Times New Roman"/>
          <w:sz w:val="24"/>
        </w:rPr>
        <w:t>• Financial Risk: Lack of disclosed funding and financials raises concerns about the company’s ability to sustain R&amp;D and scale operations through commercialization.</w:t>
      </w:r>
    </w:p>
    <w:p>
      <w:pPr>
        <w:spacing w:line="360" w:lineRule="auto"/>
        <w:jc w:val="both"/>
      </w:pPr>
      <w:r>
        <w:rPr>
          <w:rFonts w:ascii="Times New Roman" w:hAnsi="Times New Roman"/>
          <w:sz w:val="24"/>
        </w:rPr>
        <w:t>• Regulatory &amp; Certification Delays: Battery technologies face stringent and evolving regulations; delays or failures in certification could impede market entry.</w:t>
      </w:r>
    </w:p>
    <w:p>
      <w:pPr>
        <w:spacing w:line="360" w:lineRule="auto"/>
        <w:jc w:val="both"/>
      </w:pPr>
      <w:r>
        <w:rPr>
          <w:rFonts w:ascii="Times New Roman" w:hAnsi="Times New Roman"/>
          <w:sz w:val="24"/>
        </w:rPr>
        <w:t>• IP Litigation Risk: Patent overlaps or challenges could arise given the crowded battery IP landscape.</w:t>
      </w:r>
    </w:p>
    <w:p>
      <w:pPr>
        <w:spacing w:before="240" w:line="360" w:lineRule="auto" w:after="120"/>
        <w:jc w:val="both"/>
      </w:pPr>
      <w:r>
        <w:rPr>
          <w:rFonts w:ascii="Times New Roman" w:hAnsi="Times New Roman"/>
          <w:b/>
          <w:sz w:val="24"/>
        </w:rPr>
        <w:t>Actionable Recommendations for Investors</w:t>
      </w:r>
    </w:p>
    <w:p>
      <w:pPr>
        <w:spacing w:line="360" w:lineRule="auto"/>
        <w:jc w:val="both"/>
      </w:pPr>
      <w:r>
        <w:rPr>
          <w:rFonts w:ascii="Times New Roman" w:hAnsi="Times New Roman"/>
          <w:sz w:val="24"/>
        </w:rPr>
        <w:t>1. **Demand Comprehensive Technical Validation:** Insist on independent third-party test reports confirming charging speed, cycle life, safety, and degradation under real-world conditions before committing capital.</w:t>
      </w:r>
    </w:p>
    <w:p>
      <w:pPr>
        <w:spacing w:line="360" w:lineRule="auto"/>
        <w:jc w:val="both"/>
      </w:pPr>
      <w:r>
        <w:rPr>
          <w:rFonts w:ascii="Times New Roman" w:hAnsi="Times New Roman"/>
          <w:sz w:val="24"/>
        </w:rPr>
        <w:t>2. **Request Full Leadership Disclosure:** Obtain detailed bios and track records for CEO, CTO, CFO, and Chairman to assess execution capability and identify potential gaps.</w:t>
      </w:r>
    </w:p>
    <w:p>
      <w:pPr>
        <w:spacing w:line="360" w:lineRule="auto"/>
        <w:jc w:val="both"/>
      </w:pPr>
      <w:r>
        <w:rPr>
          <w:rFonts w:ascii="Times New Roman" w:hAnsi="Times New Roman"/>
          <w:sz w:val="24"/>
        </w:rPr>
        <w:t>3. **Seek Financial Transparency:** Require current financial statements, burn rate, funding history, and capital needs to evaluate financial sustainability and fundraising plans.</w:t>
      </w:r>
    </w:p>
    <w:p>
      <w:pPr>
        <w:spacing w:line="360" w:lineRule="auto"/>
        <w:jc w:val="both"/>
      </w:pPr>
      <w:r>
        <w:rPr>
          <w:rFonts w:ascii="Times New Roman" w:hAnsi="Times New Roman"/>
          <w:sz w:val="24"/>
        </w:rPr>
        <w:t>4. **Clarify OEM Partnership Status:** Verify the nature of OEM engagements—signed agreements, LOIs, pilot results—and manufacturing scale-up commitments.</w:t>
      </w:r>
    </w:p>
    <w:p>
      <w:pPr>
        <w:spacing w:line="360" w:lineRule="auto"/>
        <w:jc w:val="both"/>
      </w:pPr>
      <w:r>
        <w:rPr>
          <w:rFonts w:ascii="Times New Roman" w:hAnsi="Times New Roman"/>
          <w:sz w:val="24"/>
        </w:rPr>
        <w:t>5. **Conduct Competitive Benchmarking:** Commission a comparative analysis of StoreDot’s technology versus solid-state and other emerging battery chemistries on cost, performance, scalability, and IP position.</w:t>
      </w:r>
    </w:p>
    <w:p>
      <w:pPr>
        <w:spacing w:line="360" w:lineRule="auto"/>
        <w:jc w:val="both"/>
      </w:pPr>
      <w:r>
        <w:rPr>
          <w:rFonts w:ascii="Times New Roman" w:hAnsi="Times New Roman"/>
          <w:sz w:val="24"/>
        </w:rPr>
        <w:t>6. **Evaluate Market Size &amp; Adoption Strategy:** Request independent market sizing and a detailed go-to-market plan, including infrastructure partnerships and standardization efforts.</w:t>
      </w:r>
    </w:p>
    <w:p>
      <w:pPr>
        <w:spacing w:line="360" w:lineRule="auto"/>
        <w:jc w:val="both"/>
      </w:pPr>
      <w:r>
        <w:rPr>
          <w:rFonts w:ascii="Times New Roman" w:hAnsi="Times New Roman"/>
          <w:sz w:val="24"/>
        </w:rPr>
        <w:t>7. **Monitor Regulatory Compliance:** Confirm adherence to global safety and environmental standards and assess risks related to certification timelines.</w:t>
      </w:r>
    </w:p>
    <w:p>
      <w:pPr>
        <w:spacing w:line="360" w:lineRule="auto"/>
        <w:jc w:val="both"/>
      </w:pPr>
      <w:r>
        <w:rPr>
          <w:rFonts w:ascii="Times New Roman" w:hAnsi="Times New Roman"/>
          <w:sz w:val="24"/>
        </w:rPr>
        <w:t>8. **Consider Staged Investment:** Structure investment in tranches tied to technical milestones, OEM commitments, and financial transparency to mitigate risk.</w:t>
      </w:r>
    </w:p>
    <w:p>
      <w:pPr>
        <w:spacing w:line="360" w:lineRule="auto"/>
        <w:jc w:val="both"/>
      </w:pPr>
      <w:r>
        <w:rPr>
          <w:rFonts w:ascii="Times New Roman" w:hAnsi="Times New Roman"/>
          <w:sz w:val="24"/>
        </w:rPr>
        <w:t>9. **Engage Battery Industry Experts:** Utilize external consultants for technical due diligence and market validation.</w:t>
      </w:r>
    </w:p>
    <w:p>
      <w:pPr>
        <w:spacing w:before="240" w:line="360" w:lineRule="auto" w:after="120"/>
        <w:jc w:val="both"/>
      </w:pPr>
      <w:r>
        <w:rPr>
          <w:rFonts w:ascii="Times New Roman" w:hAnsi="Times New Roman"/>
          <w:b/>
          <w:sz w:val="24"/>
        </w:rPr>
        <w:t>Summary</w:t>
      </w:r>
    </w:p>
    <w:p>
      <w:pPr>
        <w:spacing w:line="360" w:lineRule="auto"/>
        <w:jc w:val="both"/>
      </w:pPr>
      <w:r>
        <w:rPr>
          <w:rFonts w:ascii="Times New Roman" w:hAnsi="Times New Roman"/>
          <w:sz w:val="24"/>
        </w:rPr>
        <w:t>StoreDot presents a promising deep-tech opportunity targeting a critical bottleneck in EV adoption with a potentially disruptive silicon-anode XFC battery technology and a capital-efficient licensing model. However, significant information gaps—especially around financials, leadership, independent technology validation, and market sizing—pose material risks. Investors should adopt a cautious, data-driven approach, prioritizing rigorous due diligence and milestone-based funding to capitalize on StoreDot’s potential while mitigating execution and market risks.</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