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09:20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The official website for the company 'StoreDot' is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Their proprietary solidstate technology uses a ceramic separator that enables fast charging and longer battery life, positioning them as a leader in nextgeneration EV battery tech.</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Their patented silicondominant anode materials significantly increase battery capacity and charging speed while maintaining safety and longevity.</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Their use of sulfidebased solid electrolytes offers a balance of high ionic conductivity and manufacturability, aiming for scalable production.</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deep-tech startup focused on extreme fast charging (XFC) battery technology designed to accelerate electric vehicle (EV) adoption by drastically reducing charging times to about 10 minutes for 100 miles of range. Their business model centers on licensing their proprietary silicon-dominant anode lithium-ion battery technology, which is compatible with existing Li-ion manufacturing lines, enabling scalable and cost-effective integration by OEMs and battery manufacturers. Key customer segments include EV OEMs and battery producers seeking to overcome charging speed limitations and alleviate consumer "charging anxiety." StoreDot’s go-to-market strategy involves ongoing testing and partnerships with over 15 OEMs and manufacturing partners, targeting commercial readiness by 2025. The technology’s scalability, patent portfolio, and alignment with industry timelines position StoreDot ahead of competing battery chemistries, with a clear roadmap toward semi-solid and post-lithium solutions by 2028 and 2032. No recent pivots were noted; the company remains focused on licensing and scaling its XFC battery tech to meet growing EV market demands.</w:t>
      </w:r>
    </w:p>
    <w:p>
      <w:pPr>
        <w:spacing w:line="360" w:lineRule="auto"/>
        <w:ind w:firstLine="0"/>
        <w:jc w:val="both"/>
      </w:pPr>
      <w:r>
        <w:rPr>
          <w:rFonts w:ascii="Times New Roman" w:hAnsi="Times New Roman"/>
          <w:sz w:val="24"/>
        </w:rPr>
        <w:t>Sources: StoreDot April 2023 Corporate Overview; UBS Global Electric Vehicle Battery Makers report (cited within materials).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deep-tech startup specializing in extreme fast charging (XFC) battery technology aimed at revolutionizing electric vehicle (EV) adoption by significantly reducing charging times. Their innovative approach allows for a 10-minute charge to achieve 100 miles of range, addressing a critical barrier in EV adoption—charging speed. StoreDot's business model focuses on licensing its proprietary silicon-dominant anode lithium-ion battery technology, which is designed to integrate seamlessly with existing manufacturing processes, offering a scalable and cost-effective solution for OEMs and battery manufacturers.</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SiliconDominant Anode Technology: Enhances charging speed and efficiency.</w:t>
      </w:r>
    </w:p>
    <w:p>
      <w:pPr>
        <w:spacing w:line="360" w:lineRule="auto"/>
        <w:ind w:firstLine="0"/>
        <w:jc w:val="both"/>
      </w:pPr>
      <w:r>
        <w:rPr>
          <w:rFonts w:ascii="Times New Roman" w:hAnsi="Times New Roman"/>
          <w:sz w:val="24"/>
        </w:rPr>
        <w:t>• Compatibility with Existing Manufacturing Lines: Facilitates easy adoption by OEMs and battery producers.</w:t>
      </w:r>
    </w:p>
    <w:p>
      <w:pPr>
        <w:spacing w:line="360" w:lineRule="auto"/>
        <w:ind w:firstLine="0"/>
        <w:jc w:val="both"/>
      </w:pPr>
      <w:r>
        <w:rPr>
          <w:rFonts w:ascii="Times New Roman" w:hAnsi="Times New Roman"/>
          <w:sz w:val="24"/>
        </w:rPr>
        <w:t>• Licensing Model: Focuses on broad adoption and scalability through partnerships.</w:t>
      </w:r>
    </w:p>
    <w:p>
      <w:pPr>
        <w:spacing w:line="360" w:lineRule="auto"/>
        <w:ind w:firstLine="0"/>
        <w:jc w:val="both"/>
      </w:pPr>
      <w:r>
        <w:rPr>
          <w:rFonts w:ascii="Times New Roman" w:hAnsi="Times New Roman"/>
          <w:sz w:val="24"/>
        </w:rPr>
        <w:t>• Targeted Charge Time: Achieves 100 miles of range in approximately 10 minutes.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Scalable Integration: Designed to fit existing Liion production lines, reducing the need for new infrastructure.</w:t>
      </w:r>
    </w:p>
    <w:p>
      <w:pPr>
        <w:spacing w:line="360" w:lineRule="auto"/>
        <w:ind w:firstLine="0"/>
        <w:jc w:val="both"/>
      </w:pPr>
      <w:r>
        <w:rPr>
          <w:rFonts w:ascii="Times New Roman" w:hAnsi="Times New Roman"/>
          <w:sz w:val="24"/>
        </w:rPr>
        <w:t>• Commercial Readiness by 2025: Aligns with industry timelines for EV market growth.</w:t>
      </w:r>
    </w:p>
    <w:p>
      <w:pPr>
        <w:spacing w:line="360" w:lineRule="auto"/>
        <w:ind w:firstLine="0"/>
        <w:jc w:val="both"/>
      </w:pPr>
      <w:r>
        <w:rPr>
          <w:rFonts w:ascii="Times New Roman" w:hAnsi="Times New Roman"/>
          <w:sz w:val="24"/>
        </w:rPr>
        <w:t>• Cycle Life and Performance: Details not specified, but critical for evaluating longterm viability.</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Partnerships with Over 15 OEMs: Indicates strong industry interest and potential for widespread adoption.</w:t>
      </w:r>
    </w:p>
    <w:p>
      <w:pPr>
        <w:spacing w:line="360" w:lineRule="auto"/>
        <w:ind w:firstLine="0"/>
        <w:jc w:val="both"/>
      </w:pPr>
      <w:r>
        <w:rPr>
          <w:rFonts w:ascii="Times New Roman" w:hAnsi="Times New Roman"/>
          <w:sz w:val="24"/>
        </w:rPr>
        <w:t>• Future Roadmap Includes SemiSolid and PostLithium Solutions: Plans for technological evolution through 2028 and 2032.</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opensource or communitydriven aspects are mentioned, suggesting a proprietary focus.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2025: Commercial readiness of XFC technology.</w:t>
      </w:r>
    </w:p>
    <w:p>
      <w:pPr>
        <w:spacing w:line="360" w:lineRule="auto"/>
        <w:ind w:firstLine="0"/>
        <w:jc w:val="both"/>
      </w:pPr>
      <w:r>
        <w:rPr>
          <w:rFonts w:ascii="Times New Roman" w:hAnsi="Times New Roman"/>
          <w:sz w:val="24"/>
        </w:rPr>
        <w:t>• 2028: Development of semisolid battery solutions.</w:t>
      </w:r>
    </w:p>
    <w:p>
      <w:pPr>
        <w:spacing w:line="360" w:lineRule="auto"/>
        <w:ind w:firstLine="0"/>
        <w:jc w:val="both"/>
      </w:pPr>
      <w:r>
        <w:rPr>
          <w:rFonts w:ascii="Times New Roman" w:hAnsi="Times New Roman"/>
          <w:sz w:val="24"/>
        </w:rPr>
        <w:t>• 2032: Introduction of postlithium battery technologies.</w:t>
      </w:r>
    </w:p>
    <w:p>
      <w:pPr>
        <w:spacing w:line="360" w:lineRule="auto"/>
        <w:ind w:firstLine="0"/>
        <w:jc w:val="both"/>
      </w:pPr>
      <w:r>
        <w:rPr>
          <w:rFonts w:ascii="Times New Roman" w:hAnsi="Times New Roman"/>
          <w:sz w:val="24"/>
        </w:rPr>
        <w:t>Differentiation from Competitors:</w:t>
      </w:r>
    </w:p>
    <w:p>
      <w:pPr>
        <w:spacing w:line="360" w:lineRule="auto"/>
        <w:ind w:firstLine="0"/>
        <w:jc w:val="both"/>
      </w:pPr>
      <w:r>
        <w:rPr>
          <w:rFonts w:ascii="Times New Roman" w:hAnsi="Times New Roman"/>
          <w:sz w:val="24"/>
        </w:rPr>
        <w:t>• Proprietary Technology: Silicondominant anode offers a unique advantage in charging speed.</w:t>
      </w:r>
    </w:p>
    <w:p>
      <w:pPr>
        <w:spacing w:line="360" w:lineRule="auto"/>
        <w:ind w:firstLine="0"/>
        <w:jc w:val="both"/>
      </w:pPr>
      <w:r>
        <w:rPr>
          <w:rFonts w:ascii="Times New Roman" w:hAnsi="Times New Roman"/>
          <w:sz w:val="24"/>
        </w:rPr>
        <w:t>• Industry Alignment: Roadmap aligns with EV market growth, positioning StoreDot ahead of alternative battery chemistries.</w:t>
      </w:r>
    </w:p>
    <w:p>
      <w:pPr>
        <w:spacing w:line="360" w:lineRule="auto"/>
        <w:ind w:firstLine="0"/>
        <w:jc w:val="both"/>
      </w:pPr>
      <w:r>
        <w:rPr>
          <w:rFonts w:ascii="Times New Roman" w:hAnsi="Times New Roman"/>
          <w:sz w:val="24"/>
        </w:rPr>
        <w:t>• Established Partnerships: Extensive OEM collaborations provide a competitive edge in market penetration.</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StoreDot's technology addresses a significant pain point in the EV market—charging speed—potentially accelerating EV adoption.</w:t>
      </w:r>
    </w:p>
    <w:p>
      <w:pPr>
        <w:spacing w:line="360" w:lineRule="auto"/>
        <w:ind w:firstLine="0"/>
        <w:jc w:val="both"/>
      </w:pPr>
      <w:r>
        <w:rPr>
          <w:rFonts w:ascii="Times New Roman" w:hAnsi="Times New Roman"/>
          <w:sz w:val="24"/>
        </w:rPr>
        <w:t>• The compatibility with existing manufacturing lines reduces barriers to entry for OEMs and manufacturers.</w:t>
      </w:r>
    </w:p>
    <w:p>
      <w:pPr>
        <w:spacing w:line="360" w:lineRule="auto"/>
        <w:ind w:firstLine="0"/>
        <w:jc w:val="both"/>
      </w:pPr>
      <w:r>
        <w:rPr>
          <w:rFonts w:ascii="Times New Roman" w:hAnsi="Times New Roman"/>
          <w:sz w:val="24"/>
        </w:rPr>
        <w:t>• A clear and strategic roadmap demonstrates foresight and planning for future technological advancements.</w:t>
      </w:r>
    </w:p>
    <w:p>
      <w:pPr>
        <w:spacing w:line="360" w:lineRule="auto"/>
        <w:ind w:firstLine="0"/>
        <w:jc w:val="both"/>
      </w:pPr>
      <w:r>
        <w:rPr>
          <w:rFonts w:ascii="Times New Roman" w:hAnsi="Times New Roman"/>
          <w:sz w:val="24"/>
        </w:rPr>
        <w:t>Areas for Improvement:</w:t>
      </w:r>
    </w:p>
    <w:p>
      <w:pPr>
        <w:spacing w:line="360" w:lineRule="auto"/>
        <w:ind w:firstLine="0"/>
        <w:jc w:val="both"/>
      </w:pPr>
      <w:r>
        <w:rPr>
          <w:rFonts w:ascii="Times New Roman" w:hAnsi="Times New Roman"/>
          <w:sz w:val="24"/>
        </w:rPr>
        <w:t>• Specific details on cycle life and overall performance metrics are lacking, which are crucial for assessing longterm viability.</w:t>
      </w:r>
    </w:p>
    <w:p>
      <w:pPr>
        <w:spacing w:line="360" w:lineRule="auto"/>
        <w:ind w:firstLine="0"/>
        <w:jc w:val="both"/>
      </w:pPr>
      <w:r>
        <w:rPr>
          <w:rFonts w:ascii="Times New Roman" w:hAnsi="Times New Roman"/>
          <w:sz w:val="24"/>
        </w:rPr>
        <w:t>• The absence of opensource or communitydriven initiatives may limit collaborative innovation opportunities.</w:t>
      </w:r>
    </w:p>
    <w:p>
      <w:pPr>
        <w:spacing w:line="360" w:lineRule="auto"/>
        <w:ind w:firstLine="0"/>
        <w:jc w:val="both"/>
      </w:pPr>
      <w:r>
        <w:rPr>
          <w:rFonts w:ascii="Times New Roman" w:hAnsi="Times New Roman"/>
          <w:sz w:val="24"/>
        </w:rPr>
        <w:t>• While the roadmap is ambitious, execution risks remain, particularly in transitioning to semisolid and postlithium solutions.</w:t>
      </w:r>
    </w:p>
    <w:p>
      <w:pPr>
        <w:spacing w:line="360" w:lineRule="auto"/>
        <w:ind w:firstLine="0"/>
        <w:jc w:val="both"/>
      </w:pPr>
      <w:r>
        <w:rPr>
          <w:rFonts w:ascii="Times New Roman" w:hAnsi="Times New Roman"/>
          <w:sz w:val="24"/>
        </w:rPr>
        <w:t>Overall, StoreDot presents a compelling investment opportunity with its innovative approach to fast-charging technology, though further clarity on performance metrics and execution strategies would strengthen its investment case.</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14,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DSc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where he leads the company in pioneering extreme fastcharging battery technology for electric vehicles. Prior to founding StoreDot in 2012, Doron was the Senior Director of the SanDisk SSD Business Unit, where he successfully established and managed the division in Israel, achieving over $100M in revenue in under three years. His extensive experience also includes serving as VP of Flash and Operations at msystems, where he managed strategic sourcing of $1B annually, resulting in annual revenues exceeding $1.5B. Doron holds a DSc in R&amp;D Management from the Technion – Israel Institute of Technology.</w:t>
      </w:r>
    </w:p>
    <w:p>
      <w:pPr>
        <w:spacing w:line="360" w:lineRule="auto"/>
        <w:ind w:firstLine="0"/>
        <w:jc w:val="both"/>
      </w:pPr>
      <w:r>
        <w:rPr>
          <w:rFonts w:ascii="Times New Roman" w:hAnsi="Times New Roman"/>
          <w:sz w:val="24"/>
        </w:rPr>
        <w:t>Critical Analysis: Doron Myersdorf's track record demonstrates a strong foundation in both strategic leadership and operational management within the tech sector. His ability to drive significant revenue growth at SanDisk and msystems is commendable and indicative of his capability to scale StoreDot. However, while his technical and entrepreneurial background is robust, the transition from tech to automotive battery technology presents unique challenges that will test his adaptability and industry-specific strategic acumen.</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Meir Halberstam serves as the Chief Financial Officer at StoreDot, a leader in extreme fastcharging batteries for electric vehicles. His previous roles include CFO at Broadcom Israel, where he managed numerous mergers and acquisitions, and CFO EMEA at Convergys, overseeing operations across more than 30 countries for a decade. Notably, Meir led Radview Software from its seed stage to an IPO on NASDAQ, showcasing his expertise in financial strategy and capital markets.</w:t>
      </w:r>
    </w:p>
    <w:p>
      <w:pPr>
        <w:spacing w:line="360" w:lineRule="auto"/>
        <w:ind w:firstLine="0"/>
        <w:jc w:val="both"/>
      </w:pPr>
      <w:r>
        <w:rPr>
          <w:rFonts w:ascii="Times New Roman" w:hAnsi="Times New Roman"/>
          <w:sz w:val="24"/>
        </w:rPr>
        <w:t>Critical Analysis: Meir Halberstam brings a wealth of financial expertise and a proven track record in managing complex financial operations and strategic transactions. His experience with IPOs and M&amp;A activities is particularly valuable as StoreDot continues to expand and potentially seeks further funding rounds or public market entry. However, the absence of a LinkedIn profile limits our ability to verify his current network and ongoing professional engagements, which could be crucial for future fundraising efforts.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CarlPeter Forster is the Chairman of StoreDot, contributing over 27 years of experience in the automotive industry. He has held prominent roles such as Group CEO and Managing Director of Tata Motors, including Jaguar Land Rover, and President and CEO of General Motors Europe. His career also includes senior positions at BMW, highlighting his extensive leadership experience in the automotive sector.</w:t>
      </w:r>
    </w:p>
    <w:p>
      <w:pPr>
        <w:spacing w:line="360" w:lineRule="auto"/>
        <w:ind w:firstLine="0"/>
        <w:jc w:val="both"/>
      </w:pPr>
      <w:r>
        <w:rPr>
          <w:rFonts w:ascii="Times New Roman" w:hAnsi="Times New Roman"/>
          <w:sz w:val="24"/>
        </w:rPr>
        <w:t>Critical Analysis: Carl-Peter Forster's extensive experience in the automotive industry is a significant asset to StoreDot, particularly given the company's focus on electric vehicle battery technology. His leadership roles at major automotive companies provide valuable insights and strategic direction for StoreDot's market positioning and partnerships. However, his effectiveness will depend on his ability to leverage his industry connections and adapt his traditional automotive experience to the rapidly evolving EV landscape. The lack of a LinkedIn profile may limit transparency regarding his current professional engagements and influence within the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in 10 minutes with no degradation over 1200 cycles, leveraging scalable, industry-compatible manufacturing processes and a cobalt-reduction approach, which supports sustainability goals by potentially lowering reliance on conflict minerals. Socially, the technology could reduce "charging anxiety," enhancing user experience and EV accessibility, while governance appears strong with a leadership team experienced in automotive and tech sectors and a robust patent portfolio. Regulatory alignment is implied through readiness for mass production by 2024-2025 and compatibility with global EV market timelines (US, EU, China). No recent ESG controversies or negative news were found in available sources. However, detailed disclosures on environmental impact assessments, supply chain labor practices, and explicit governance policies are not provided in the materials.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Adoption Risk</w:t>
      </w:r>
    </w:p>
    <w:p>
      <w:pPr>
        <w:spacing w:line="360" w:lineRule="auto"/>
        <w:ind w:firstLine="0"/>
        <w:jc w:val="both"/>
      </w:pPr>
      <w:r>
        <w:rPr>
          <w:rFonts w:ascii="Times New Roman" w:hAnsi="Times New Roman"/>
          <w:sz w:val="24"/>
        </w:rPr>
        <w:t>• Explanation: The success of StoreDot's extreme fast charging (XFC) battery technology hinges on widespread adoption by electric vehicle (EV) OEMs and battery manufacturers. If the market is slow to adopt this technology, StoreDot may struggle to achieve its growth targets. This risk is critical because the EV market is highly competitive, and OEMs may be hesitant to integrate new technologies without clear, proven benefits and compatibility with existing systems.</w:t>
      </w:r>
    </w:p>
    <w:p>
      <w:pPr>
        <w:spacing w:line="360" w:lineRule="auto"/>
        <w:ind w:firstLine="0"/>
        <w:jc w:val="both"/>
      </w:pPr>
      <w:r>
        <w:rPr>
          <w:rFonts w:ascii="Times New Roman" w:hAnsi="Times New Roman"/>
          <w:sz w:val="24"/>
        </w:rPr>
        <w:t>• Mitigation: StoreDot's strategy of forming partnerships with over 15 OEMs and manufacturing partners is a proactive approach to mitigate this risk. By demonstrating the technology's effectiveness and compatibility through these partnerships, StoreDot can build trust and encourage broader market adoption.</w:t>
      </w:r>
    </w:p>
    <w:p>
      <w:pPr>
        <w:spacing w:line="360" w:lineRule="auto"/>
        <w:ind w:firstLine="0"/>
        <w:jc w:val="both"/>
      </w:pPr>
      <w:r>
        <w:rPr>
          <w:rFonts w:ascii="Times New Roman" w:hAnsi="Times New Roman"/>
          <w:sz w:val="24"/>
        </w:rPr>
        <w:t>Technical Scalability Risk</w:t>
      </w:r>
    </w:p>
    <w:p>
      <w:pPr>
        <w:spacing w:line="360" w:lineRule="auto"/>
        <w:ind w:firstLine="0"/>
        <w:jc w:val="both"/>
      </w:pPr>
      <w:r>
        <w:rPr>
          <w:rFonts w:ascii="Times New Roman" w:hAnsi="Times New Roman"/>
          <w:sz w:val="24"/>
        </w:rPr>
        <w:t>• Explanation: While StoreDot's technology is designed to be compatible with existing lithiumion manufacturing lines, scaling up production to meet commercial demands by 2025 presents significant technical challenges. Any delays or technical failures in scaling could impact StoreDot's ability to deliver on its promises, affecting its reputation and financial performance.</w:t>
      </w:r>
    </w:p>
    <w:p>
      <w:pPr>
        <w:spacing w:line="360" w:lineRule="auto"/>
        <w:ind w:firstLine="0"/>
        <w:jc w:val="both"/>
      </w:pPr>
      <w:r>
        <w:rPr>
          <w:rFonts w:ascii="Times New Roman" w:hAnsi="Times New Roman"/>
          <w:sz w:val="24"/>
        </w:rPr>
        <w:t>• Mitigation: The company's clear roadmap and ongoing testing efforts are crucial for identifying and addressing potential scalability issues early. Continued investment in R&amp;D and maintaining strong relationships with manufacturing partners will be essential to ensure successful scaling.</w:t>
      </w:r>
    </w:p>
    <w:p>
      <w:pPr>
        <w:spacing w:line="360" w:lineRule="auto"/>
        <w:ind w:firstLine="0"/>
        <w:jc w:val="both"/>
      </w:pPr>
      <w:r>
        <w:rPr>
          <w:rFonts w:ascii="Times New Roman" w:hAnsi="Times New Roman"/>
          <w:sz w:val="24"/>
        </w:rPr>
        <w:t>Operational Execution Risk</w:t>
      </w:r>
    </w:p>
    <w:p>
      <w:pPr>
        <w:spacing w:line="360" w:lineRule="auto"/>
        <w:ind w:firstLine="0"/>
        <w:jc w:val="both"/>
      </w:pPr>
      <w:r>
        <w:rPr>
          <w:rFonts w:ascii="Times New Roman" w:hAnsi="Times New Roman"/>
          <w:sz w:val="24"/>
        </w:rPr>
        <w:t>• Explanation: As StoreDot approaches commercial readiness, the complexity of operational execution increases. Coordinating with multiple partners, managing supply chains, and ensuring quality control across different manufacturing sites are potential areas where operational missteps could occur.</w:t>
      </w:r>
    </w:p>
    <w:p>
      <w:pPr>
        <w:spacing w:line="360" w:lineRule="auto"/>
        <w:ind w:firstLine="0"/>
        <w:jc w:val="both"/>
      </w:pPr>
      <w:r>
        <w:rPr>
          <w:rFonts w:ascii="Times New Roman" w:hAnsi="Times New Roman"/>
          <w:sz w:val="24"/>
        </w:rPr>
        <w:t>• Mitigation: StoreDot can mitigate this risk by strengthening its operational management team, investing in robust supply chain management systems, and maintaining transparent communication with partners to ensure alignment and timely problem resolution.</w:t>
      </w:r>
    </w:p>
    <w:p>
      <w:pPr>
        <w:spacing w:line="360" w:lineRule="auto"/>
        <w:ind w:firstLine="0"/>
        <w:jc w:val="both"/>
      </w:pPr>
      <w:r>
        <w:rPr>
          <w:rFonts w:ascii="Times New Roman" w:hAnsi="Times New Roman"/>
          <w:sz w:val="24"/>
        </w:rPr>
        <w:t>Regulatory Compliance Risk</w:t>
      </w:r>
    </w:p>
    <w:p>
      <w:pPr>
        <w:spacing w:line="360" w:lineRule="auto"/>
        <w:ind w:firstLine="0"/>
        <w:jc w:val="both"/>
      </w:pPr>
      <w:r>
        <w:rPr>
          <w:rFonts w:ascii="Times New Roman" w:hAnsi="Times New Roman"/>
          <w:sz w:val="24"/>
        </w:rPr>
        <w:t>• Explanation: The battery technology sector is subject to stringent regulatory requirements, which vary by region. StoreDot must ensure its XFC technology complies with all relevant safety and environmental regulations. Noncompliance could lead to costly delays, fines, or restrictions on market entry.</w:t>
      </w:r>
    </w:p>
    <w:p>
      <w:pPr>
        <w:spacing w:line="360" w:lineRule="auto"/>
        <w:ind w:firstLine="0"/>
        <w:jc w:val="both"/>
      </w:pPr>
      <w:r>
        <w:rPr>
          <w:rFonts w:ascii="Times New Roman" w:hAnsi="Times New Roman"/>
          <w:sz w:val="24"/>
        </w:rPr>
        <w:t>• Mitigation: StoreDot should invest in a dedicated regulatory affairs team to monitor and ensure compliance with evolving regulations. Engaging with industry bodies and participating in regulatory discussions can also help anticipate changes and adapt accordingly.</w:t>
      </w:r>
    </w:p>
    <w:p>
      <w:pPr>
        <w:spacing w:line="360" w:lineRule="auto"/>
        <w:ind w:firstLine="0"/>
        <w:jc w:val="both"/>
      </w:pPr>
      <w:r>
        <w:rPr>
          <w:rFonts w:ascii="Times New Roman" w:hAnsi="Times New Roman"/>
          <w:sz w:val="24"/>
        </w:rPr>
        <w:t>Competitive Pressure Risk</w:t>
      </w:r>
    </w:p>
    <w:p>
      <w:pPr>
        <w:spacing w:line="360" w:lineRule="auto"/>
        <w:ind w:firstLine="0"/>
        <w:jc w:val="both"/>
      </w:pPr>
      <w:r>
        <w:rPr>
          <w:rFonts w:ascii="Times New Roman" w:hAnsi="Times New Roman"/>
          <w:sz w:val="24"/>
        </w:rPr>
        <w:t>• Explanation: The battery technology market is highly competitive, with numerous players developing alternative chemistries and solutions. StoreDot faces the risk of competitors developing superior or more costeffective technologies, which could erode its market position.</w:t>
      </w:r>
    </w:p>
    <w:p>
      <w:pPr>
        <w:spacing w:line="360" w:lineRule="auto"/>
        <w:ind w:firstLine="0"/>
        <w:jc w:val="both"/>
      </w:pPr>
      <w:r>
        <w:rPr>
          <w:rFonts w:ascii="Times New Roman" w:hAnsi="Times New Roman"/>
          <w:sz w:val="24"/>
        </w:rPr>
        <w:t>• Mitigation: StoreDot's strong patent portfolio and focus on continuous innovation, including a roadmap toward semisolid and postlithium solutions, are key strategies to maintain a competitive edge. Ongoing market analysis and competitor benchmarking will be essential to stay ahead of emerging trends and technologies.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a major EV manufacturer looking to enhance their charging capabilities or by a tech company interested in expanding into the EV market. An IPO could also be a viable option if StoreDot continues to demonstrate technological superiority and market readiness. Recommended exit strategies could involve pursuing strategic partnerships with key industry players to accelerate growth and increase valuation. However, more information on current partnerships, financials, and market traction would be needed to provide a more detailed analysis.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data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Understand any dependencies on proprietary materials or rare elements that could impact scalability or cost.</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ind w:firstLine="0"/>
        <w:jc w:val="both"/>
      </w:pPr>
      <w:r>
        <w:rPr>
          <w:rFonts w:ascii="Times New Roman" w:hAnsi="Times New Roman"/>
          <w:sz w:val="24"/>
        </w:rPr>
        <w:t>• Confirm commitments or LOIs from OEMs for commercial adoption starting 2025.</w:t>
      </w:r>
    </w:p>
    <w:p>
      <w:pPr>
        <w:spacing w:line="360" w:lineRule="auto"/>
        <w:ind w:firstLine="0"/>
        <w:jc w:val="both"/>
      </w:pPr>
      <w:r>
        <w:rPr>
          <w:rFonts w:ascii="Times New Roman" w:hAnsi="Times New Roman"/>
          <w:sz w:val="24"/>
        </w:rPr>
        <w:t>• Assess manufacturing readiness: capacity, location, and timeline for scaling production on standard Liion lines.</w:t>
      </w:r>
    </w:p>
    <w:p>
      <w:pPr>
        <w:spacing w:line="360" w:lineRule="auto"/>
        <w:ind w:firstLine="0"/>
        <w:jc w:val="both"/>
      </w:pPr>
      <w:r>
        <w:rPr>
          <w:rFonts w:ascii="Times New Roman" w:hAnsi="Times New Roman"/>
          <w:sz w:val="24"/>
        </w:rPr>
        <w:t>Competitive Landscape &amp; Differentiation</w:t>
      </w:r>
    </w:p>
    <w:p>
      <w:pPr>
        <w:spacing w:line="360" w:lineRule="auto"/>
        <w:ind w:firstLine="0"/>
        <w:jc w:val="both"/>
      </w:pPr>
      <w:r>
        <w:rPr>
          <w:rFonts w:ascii="Times New Roman" w:hAnsi="Times New Roman"/>
          <w:sz w:val="24"/>
        </w:rPr>
        <w:t>• Request a detailed competitive analysis comparing StoreDot’s technology to other fastcharging battery chemistries and solidstate battery startups.</w:t>
      </w:r>
    </w:p>
    <w:p>
      <w:pPr>
        <w:spacing w:line="360" w:lineRule="auto"/>
        <w:ind w:firstLine="0"/>
        <w:jc w:val="both"/>
      </w:pPr>
      <w:r>
        <w:rPr>
          <w:rFonts w:ascii="Times New Roman" w:hAnsi="Times New Roman"/>
          <w:sz w:val="24"/>
        </w:rPr>
        <w:t>• Clarify how StoreDot’s cost structure compares to incumbent Liion and emerging battery technologies at scale.</w:t>
      </w:r>
    </w:p>
    <w:p>
      <w:pPr>
        <w:spacing w:before="240" w:line="360" w:lineRule="auto" w:after="120"/>
        <w:ind w:firstLine="0"/>
        <w:jc w:val="both"/>
      </w:pPr>
      <w:r>
        <w:rPr>
          <w:rFonts w:ascii="Times New Roman" w:hAnsi="Times New Roman"/>
          <w:b/>
          <w:sz w:val="24"/>
        </w:rPr>
        <w:t>Technology Roadmap &amp; Risks</w:t>
      </w:r>
    </w:p>
    <w:p>
      <w:pPr>
        <w:spacing w:line="360" w:lineRule="auto"/>
        <w:ind w:firstLine="0"/>
        <w:jc w:val="both"/>
      </w:pPr>
      <w:r>
        <w:rPr>
          <w:rFonts w:ascii="Times New Roman" w:hAnsi="Times New Roman"/>
          <w:sz w:val="24"/>
        </w:rPr>
        <w:t>• Seek more detail on the roadmap to semisolid (2028) and postlithium (2032) batteries, including technical challenges and required capital.</w:t>
      </w:r>
    </w:p>
    <w:p>
      <w:pPr>
        <w:spacing w:line="360" w:lineRule="auto"/>
        <w:ind w:firstLine="0"/>
        <w:jc w:val="both"/>
      </w:pPr>
      <w:r>
        <w:rPr>
          <w:rFonts w:ascii="Times New Roman" w:hAnsi="Times New Roman"/>
          <w:sz w:val="24"/>
        </w:rPr>
        <w:t>• Understand risks related to technology adoption, such as potential degradation modes not captured in current testing.</w:t>
      </w:r>
    </w:p>
    <w:p>
      <w:pPr>
        <w:spacing w:line="360" w:lineRule="auto"/>
        <w:ind w:firstLine="0"/>
        <w:jc w:val="both"/>
      </w:pPr>
      <w:r>
        <w:rPr>
          <w:rFonts w:ascii="Times New Roman" w:hAnsi="Times New Roman"/>
          <w:sz w:val="24"/>
        </w:rPr>
        <w:t>Market &amp; Commercialization Strategy</w:t>
      </w:r>
    </w:p>
    <w:p>
      <w:pPr>
        <w:spacing w:line="360" w:lineRule="auto"/>
        <w:ind w:firstLine="0"/>
        <w:jc w:val="both"/>
      </w:pPr>
      <w:r>
        <w:rPr>
          <w:rFonts w:ascii="Times New Roman" w:hAnsi="Times New Roman"/>
          <w:sz w:val="24"/>
        </w:rPr>
        <w:t>• Clarify StoreDot’s gotomarket strategy: direct sales, licensing, joint ventures, or other models.</w:t>
      </w:r>
    </w:p>
    <w:p>
      <w:pPr>
        <w:spacing w:line="360" w:lineRule="auto"/>
        <w:ind w:firstLine="0"/>
        <w:jc w:val="both"/>
      </w:pPr>
      <w:r>
        <w:rPr>
          <w:rFonts w:ascii="Times New Roman" w:hAnsi="Times New Roman"/>
          <w:sz w:val="24"/>
        </w:rPr>
        <w:t>• Understand plans for addressing charging infrastructure and standardization challenges beyond battery tech.</w:t>
      </w:r>
    </w:p>
    <w:p>
      <w:pPr>
        <w:spacing w:line="360" w:lineRule="auto"/>
        <w:ind w:firstLine="0"/>
        <w:jc w:val="both"/>
      </w:pPr>
      <w:r>
        <w:rPr>
          <w:rFonts w:ascii="Times New Roman" w:hAnsi="Times New Roman"/>
          <w:sz w:val="24"/>
        </w:rPr>
        <w:t>• Request market sizing and revenue projections aligned with the 2025 commercial readiness target.</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financials, burn rate, and funding runway.</w:t>
      </w:r>
    </w:p>
    <w:p>
      <w:pPr>
        <w:spacing w:line="360" w:lineRule="auto"/>
        <w:ind w:firstLine="0"/>
        <w:jc w:val="both"/>
      </w:pPr>
      <w:r>
        <w:rPr>
          <w:rFonts w:ascii="Times New Roman" w:hAnsi="Times New Roman"/>
          <w:sz w:val="24"/>
        </w:rPr>
        <w:t>• Understand capital requirements for scaling manufacturing and R&amp;D through 2028.</w:t>
      </w:r>
    </w:p>
    <w:p>
      <w:pPr>
        <w:spacing w:line="360" w:lineRule="auto"/>
        <w:ind w:firstLine="0"/>
        <w:jc w:val="both"/>
      </w:pPr>
      <w:r>
        <w:rPr>
          <w:rFonts w:ascii="Times New Roman" w:hAnsi="Times New Roman"/>
          <w:sz w:val="24"/>
        </w:rPr>
        <w:t>Regulatory &amp; Sustainability</w:t>
      </w:r>
    </w:p>
    <w:p>
      <w:pPr>
        <w:spacing w:line="360" w:lineRule="auto"/>
        <w:ind w:firstLine="0"/>
        <w:jc w:val="both"/>
      </w:pPr>
      <w:r>
        <w:rPr>
          <w:rFonts w:ascii="Times New Roman" w:hAnsi="Times New Roman"/>
          <w:sz w:val="24"/>
        </w:rPr>
        <w:t>• Clarify compliance with evolving battery regulations and sustainability standards, including cobalt reduction and recycling plans.</w:t>
      </w:r>
    </w:p>
    <w:p>
      <w:pPr>
        <w:spacing w:line="360" w:lineRule="auto"/>
        <w:ind w:firstLine="0"/>
        <w:jc w:val="both"/>
      </w:pPr>
      <w:r>
        <w:rPr>
          <w:rFonts w:ascii="Times New Roman" w:hAnsi="Times New Roman"/>
          <w:sz w:val="24"/>
        </w:rPr>
        <w:t>Team &amp; Execution</w:t>
      </w:r>
    </w:p>
    <w:p>
      <w:pPr>
        <w:spacing w:line="360" w:lineRule="auto"/>
        <w:ind w:firstLine="0"/>
        <w:jc w:val="both"/>
      </w:pPr>
      <w:r>
        <w:rPr>
          <w:rFonts w:ascii="Times New Roman" w:hAnsi="Times New Roman"/>
          <w:sz w:val="24"/>
        </w:rPr>
        <w:t>• Validate key team members’ track record in scaling battery technologies commercially.</w:t>
      </w:r>
    </w:p>
    <w:p>
      <w:pPr>
        <w:spacing w:line="360" w:lineRule="auto"/>
        <w:ind w:firstLine="0"/>
        <w:jc w:val="both"/>
      </w:pPr>
      <w:r>
        <w:rPr>
          <w:rFonts w:ascii="Times New Roman" w:hAnsi="Times New Roman"/>
          <w:sz w:val="24"/>
        </w:rPr>
        <w:t>• Assess organizational readiness to manage global partnerships and manufacturing scaleup.</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 dive with R&amp;D and IP teams.</w:t>
      </w:r>
    </w:p>
    <w:p>
      <w:pPr>
        <w:spacing w:line="360" w:lineRule="auto"/>
        <w:ind w:firstLine="0"/>
        <w:jc w:val="both"/>
      </w:pPr>
      <w:r>
        <w:rPr>
          <w:rFonts w:ascii="Times New Roman" w:hAnsi="Times New Roman"/>
          <w:sz w:val="24"/>
        </w:rPr>
        <w:t>• Conduct reference calls with OEM partners.</w:t>
      </w:r>
    </w:p>
    <w:p>
      <w:pPr>
        <w:spacing w:line="360" w:lineRule="auto"/>
        <w:ind w:firstLine="0"/>
        <w:jc w:val="both"/>
      </w:pPr>
      <w:r>
        <w:rPr>
          <w:rFonts w:ascii="Times New Roman" w:hAnsi="Times New Roman"/>
          <w:sz w:val="24"/>
        </w:rPr>
        <w:t>• Engage external battery technology experts for independent assessment.</w:t>
      </w:r>
    </w:p>
    <w:p>
      <w:pPr>
        <w:spacing w:line="360" w:lineRule="auto"/>
        <w:ind w:firstLine="0"/>
        <w:jc w:val="both"/>
      </w:pPr>
      <w:r>
        <w:rPr>
          <w:rFonts w:ascii="Times New Roman" w:hAnsi="Times New Roman"/>
          <w:sz w:val="24"/>
        </w:rPr>
        <w:t>• Review detailed financial model and funding plan.</w:t>
      </w:r>
    </w:p>
    <w:p>
      <w:pPr>
        <w:spacing w:line="360" w:lineRule="auto"/>
        <w:ind w:firstLine="0"/>
        <w:jc w:val="both"/>
      </w:pPr>
      <w:r>
        <w:rPr>
          <w:rFonts w:ascii="Times New Roman" w:hAnsi="Times New Roman"/>
          <w:sz w:val="24"/>
        </w:rPr>
        <w:t>• Monitor regulatory landscape relevant to battery chemistries and EV adoption.</w:t>
      </w:r>
    </w:p>
    <w:p>
      <w:pPr>
        <w:spacing w:line="360" w:lineRule="auto"/>
        <w:ind w:firstLine="0"/>
        <w:jc w:val="both"/>
      </w:pPr>
      <w:r>
        <w:rPr>
          <w:rFonts w:ascii="Times New Roman" w:hAnsi="Times New Roman"/>
          <w:sz w:val="24"/>
        </w:rPr>
        <w:t>• If these areas are addressed satisfactorily, proceed to term sheet discussion.</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Addressing Critical Pain Point: StoreDot’s silicondominant anode lithiumion battery technology promises extreme fast charging (XFC) — 100 miles in 510 minutes — directly tackling range anxiety and slow charging, two major EV adoption barriers.</w:t>
      </w:r>
    </w:p>
    <w:p>
      <w:pPr>
        <w:spacing w:line="360" w:lineRule="auto"/>
        <w:ind w:firstLine="0"/>
        <w:jc w:val="both"/>
      </w:pPr>
      <w:r>
        <w:rPr>
          <w:rFonts w:ascii="Times New Roman" w:hAnsi="Times New Roman"/>
          <w:sz w:val="24"/>
        </w:rPr>
        <w:t>• Compatibility &amp; Scalability: The technology’s compatibility with existing lithiumion manufacturing lines lowers integration barriers, enabling faster industry adoption and costeffective scaling.</w:t>
      </w:r>
    </w:p>
    <w:p>
      <w:pPr>
        <w:spacing w:line="360" w:lineRule="auto"/>
        <w:ind w:firstLine="0"/>
        <w:jc w:val="both"/>
      </w:pPr>
      <w:r>
        <w:rPr>
          <w:rFonts w:ascii="Times New Roman" w:hAnsi="Times New Roman"/>
          <w:sz w:val="24"/>
        </w:rPr>
        <w:t>• Strong Industry Partnerships: Engagement with over 15 OEMs and manufacturing partners signals credible market interest and potential for commercial traction.</w:t>
      </w:r>
    </w:p>
    <w:p>
      <w:pPr>
        <w:spacing w:line="360" w:lineRule="auto"/>
        <w:ind w:firstLine="0"/>
        <w:jc w:val="both"/>
      </w:pPr>
      <w:r>
        <w:rPr>
          <w:rFonts w:ascii="Times New Roman" w:hAnsi="Times New Roman"/>
          <w:sz w:val="24"/>
        </w:rPr>
        <w:t>• Robust IP Portfolio: 78 granted US patents and 22 pending patents provide defensibility and competitive moat.</w:t>
      </w:r>
    </w:p>
    <w:p>
      <w:pPr>
        <w:spacing w:line="360" w:lineRule="auto"/>
        <w:ind w:firstLine="0"/>
        <w:jc w:val="both"/>
      </w:pPr>
      <w:r>
        <w:rPr>
          <w:rFonts w:ascii="Times New Roman" w:hAnsi="Times New Roman"/>
          <w:sz w:val="24"/>
        </w:rPr>
        <w:t>• Experienced Leadership: Founder Doron Myersdorf’s proven track record in tech scaling, combined with automotive veteran CarlPeter Forster as Chairman, offers a balanced leadership team with relevant domain expertise.</w:t>
      </w:r>
    </w:p>
    <w:p>
      <w:pPr>
        <w:spacing w:line="360" w:lineRule="auto"/>
        <w:ind w:firstLine="0"/>
        <w:jc w:val="both"/>
      </w:pPr>
      <w:r>
        <w:rPr>
          <w:rFonts w:ascii="Times New Roman" w:hAnsi="Times New Roman"/>
          <w:sz w:val="24"/>
        </w:rPr>
        <w:t>• Clear Roadmap: Defined milestones for commercial readiness (2025) and future tech evolution (semisolid by 2028, postlithium by 2032) demonstrate strategic foresight.</w:t>
      </w:r>
    </w:p>
    <w:p>
      <w:pPr>
        <w:spacing w:line="360" w:lineRule="auto"/>
        <w:ind w:firstLine="0"/>
        <w:jc w:val="both"/>
      </w:pPr>
      <w:r>
        <w:rPr>
          <w:rFonts w:ascii="Times New Roman" w:hAnsi="Times New Roman"/>
          <w:sz w:val="24"/>
        </w:rPr>
        <w:t>• ESG Alignment: Cobalt reduction and potential sustainability benefits align with growing regulatory and consumer demand for greener technologies.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Independent Technical Validation: No thirdparty test data on critical metrics such as cycle life (&gt;1200 cycles), safety, and performance under extreme fast charging conditions is provided, raising questions about technical feasibility and reliability.</w:t>
      </w:r>
    </w:p>
    <w:p>
      <w:pPr>
        <w:spacing w:line="360" w:lineRule="auto"/>
        <w:ind w:firstLine="0"/>
        <w:jc w:val="both"/>
      </w:pPr>
      <w:r>
        <w:rPr>
          <w:rFonts w:ascii="Times New Roman" w:hAnsi="Times New Roman"/>
          <w:sz w:val="24"/>
        </w:rPr>
        <w:t>• Opaque Financials and Market Sizing: Absence of disclosed financials, funding stage, and independent TAM/SAM/SOM analysis limits ability to assess valuation, runway, and market opportunity realistically.</w:t>
      </w:r>
    </w:p>
    <w:p>
      <w:pPr>
        <w:spacing w:before="240" w:line="360" w:lineRule="auto" w:after="120"/>
        <w:ind w:firstLine="0"/>
        <w:jc w:val="both"/>
      </w:pPr>
      <w:r>
        <w:rPr>
          <w:rFonts w:ascii="Times New Roman" w:hAnsi="Times New Roman"/>
          <w:b/>
          <w:sz w:val="24"/>
        </w:rPr>
        <w:t>Execution Risks: Scaling manufacturing by 2025 is ambitious given the complexity of battery production and supply chain constraints. Operational execution across multiple partners remains unproven.</w:t>
      </w:r>
    </w:p>
    <w:p>
      <w:pPr>
        <w:spacing w:line="360" w:lineRule="auto"/>
        <w:ind w:firstLine="0"/>
        <w:jc w:val="both"/>
      </w:pPr>
      <w:r>
        <w:rPr>
          <w:rFonts w:ascii="Times New Roman" w:hAnsi="Times New Roman"/>
          <w:sz w:val="24"/>
        </w:rPr>
        <w:t>• Limited Transparency on OEM Commitments: While partnerships exist, the nature (pilot vs. binding agreements) and feedback from OEMs are unclear, making commercial adoption risk significant.</w:t>
      </w:r>
    </w:p>
    <w:p>
      <w:pPr>
        <w:spacing w:line="360" w:lineRule="auto"/>
        <w:ind w:firstLine="0"/>
        <w:jc w:val="both"/>
      </w:pPr>
      <w:r>
        <w:rPr>
          <w:rFonts w:ascii="Times New Roman" w:hAnsi="Times New Roman"/>
          <w:sz w:val="24"/>
        </w:rPr>
        <w:t>• Competitive Landscape: Competitors like QuantumScape and Sila Nanotechnologies have strong alternative chemistries and solidstate approaches; StoreDot’s silicondominant anode tech must prove superior in cost, safety, and longevity.</w:t>
      </w:r>
    </w:p>
    <w:p>
      <w:pPr>
        <w:spacing w:line="360" w:lineRule="auto"/>
        <w:ind w:firstLine="0"/>
        <w:jc w:val="both"/>
      </w:pPr>
      <w:r>
        <w:rPr>
          <w:rFonts w:ascii="Times New Roman" w:hAnsi="Times New Roman"/>
          <w:sz w:val="24"/>
        </w:rPr>
        <w:t>• No Open Innovation: Proprietary focus without opensource or collaborative R&amp;D may limit innovation velocity and ecosystem development.</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XFC: If StoreDot delivers on its promise, it could become the de facto standard for fastcharging batteries, capturing significant licensing revenue from OEMs and battery manufacturers.</w:t>
      </w:r>
    </w:p>
    <w:p>
      <w:pPr>
        <w:spacing w:line="360" w:lineRule="auto"/>
        <w:ind w:firstLine="0"/>
        <w:jc w:val="both"/>
      </w:pPr>
      <w:r>
        <w:rPr>
          <w:rFonts w:ascii="Times New Roman" w:hAnsi="Times New Roman"/>
          <w:sz w:val="24"/>
        </w:rPr>
        <w:t>• EV Market Growth Tailwinds: Regulatory mandates and consumer demand for EVs create a rapidly expanding market, increasing potential adoption.</w:t>
      </w:r>
    </w:p>
    <w:p>
      <w:pPr>
        <w:spacing w:line="360" w:lineRule="auto"/>
        <w:ind w:firstLine="0"/>
        <w:jc w:val="both"/>
      </w:pPr>
      <w:r>
        <w:rPr>
          <w:rFonts w:ascii="Times New Roman" w:hAnsi="Times New Roman"/>
          <w:sz w:val="24"/>
        </w:rPr>
        <w:t>• Technology Evolution: Roadmap toward semisolid and postlithium batteries positions StoreDot to remain relevant beyond nearterm lithiumion improvements.</w:t>
      </w:r>
    </w:p>
    <w:p>
      <w:pPr>
        <w:spacing w:line="360" w:lineRule="auto"/>
        <w:ind w:firstLine="0"/>
        <w:jc w:val="both"/>
      </w:pPr>
      <w:r>
        <w:rPr>
          <w:rFonts w:ascii="Times New Roman" w:hAnsi="Times New Roman"/>
          <w:sz w:val="24"/>
        </w:rPr>
        <w:t>• Strategic Partnerships &amp; Exits: Potential for acquisition by major OEMs or tech companies seeking battery innovation, or IPO if commercial milestones are met.</w:t>
      </w:r>
    </w:p>
    <w:p>
      <w:pPr>
        <w:spacing w:line="360" w:lineRule="auto"/>
        <w:ind w:firstLine="0"/>
        <w:jc w:val="both"/>
      </w:pPr>
      <w:r>
        <w:rPr>
          <w:rFonts w:ascii="Times New Roman" w:hAnsi="Times New Roman"/>
          <w:sz w:val="24"/>
        </w:rPr>
        <w:t>• Sustainability Credentials: Cobalt reduction and compatibility with existing manufacturing lines may appeal to ESGconscious investors and customers.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Adoption Risk: OEMs may delay or reject adoption due to unproven technology, integration challenges, or preference for competing chemistries.</w:t>
      </w:r>
    </w:p>
    <w:p>
      <w:pPr>
        <w:spacing w:line="360" w:lineRule="auto"/>
        <w:ind w:firstLine="0"/>
        <w:jc w:val="both"/>
      </w:pPr>
      <w:r>
        <w:rPr>
          <w:rFonts w:ascii="Times New Roman" w:hAnsi="Times New Roman"/>
          <w:sz w:val="24"/>
        </w:rPr>
        <w:t>• Technical Scalability Risk: Manufacturing scaleup by 2025 is challenging; delays or quality issues could damage reputation and financials.</w:t>
      </w:r>
    </w:p>
    <w:p>
      <w:pPr>
        <w:spacing w:line="360" w:lineRule="auto"/>
        <w:ind w:firstLine="0"/>
        <w:jc w:val="both"/>
      </w:pPr>
      <w:r>
        <w:rPr>
          <w:rFonts w:ascii="Times New Roman" w:hAnsi="Times New Roman"/>
          <w:sz w:val="24"/>
        </w:rPr>
        <w:t>• Operational Complexity: Managing supply chains, quality control, and partner coordination across geographies is nontrivial.</w:t>
      </w:r>
    </w:p>
    <w:p>
      <w:pPr>
        <w:spacing w:line="360" w:lineRule="auto"/>
        <w:ind w:firstLine="0"/>
        <w:jc w:val="both"/>
      </w:pPr>
      <w:r>
        <w:rPr>
          <w:rFonts w:ascii="Times New Roman" w:hAnsi="Times New Roman"/>
          <w:sz w:val="24"/>
        </w:rPr>
        <w:t>• Regulatory Compliance: Battery safety and environmental regulations are evolving; noncompliance could cause delays or penalties.</w:t>
      </w:r>
    </w:p>
    <w:p>
      <w:pPr>
        <w:spacing w:line="360" w:lineRule="auto"/>
        <w:ind w:firstLine="0"/>
        <w:jc w:val="both"/>
      </w:pPr>
      <w:r>
        <w:rPr>
          <w:rFonts w:ascii="Times New Roman" w:hAnsi="Times New Roman"/>
          <w:sz w:val="24"/>
        </w:rPr>
        <w:t>• Competitive Pressure: Rapid innovation in battery tech means StoreDot must continuously innovate to maintain advantage.</w:t>
      </w:r>
    </w:p>
    <w:p>
      <w:pPr>
        <w:spacing w:line="360" w:lineRule="auto"/>
        <w:ind w:firstLine="0"/>
        <w:jc w:val="both"/>
      </w:pPr>
      <w:r>
        <w:rPr>
          <w:rFonts w:ascii="Times New Roman" w:hAnsi="Times New Roman"/>
          <w:sz w:val="24"/>
        </w:rPr>
        <w:t>• Funding &amp; Financial Transparency: Unknown funding status and capital requirements pose risks to sustained R&amp;D and scaling efforts.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obtaining third-party test results on charging speed, cycle life, safety, and degradation under real-world conditions before committing capital.</w:t>
      </w:r>
    </w:p>
    <w:p>
      <w:pPr>
        <w:spacing w:line="360" w:lineRule="auto"/>
        <w:ind w:firstLine="0"/>
        <w:jc w:val="both"/>
      </w:pPr>
      <w:r>
        <w:rPr>
          <w:rFonts w:ascii="Times New Roman" w:hAnsi="Times New Roman"/>
          <w:sz w:val="24"/>
        </w:rPr>
        <w:t>2. Clarify OEM Partnerships: Secure detailed information on OEM engagement stages, binding commitments, and feedback to assess commercial viability.</w:t>
      </w:r>
    </w:p>
    <w:p>
      <w:pPr>
        <w:spacing w:line="360" w:lineRule="auto"/>
        <w:ind w:firstLine="0"/>
        <w:jc w:val="both"/>
      </w:pPr>
      <w:r>
        <w:rPr>
          <w:rFonts w:ascii="Times New Roman" w:hAnsi="Times New Roman"/>
          <w:sz w:val="24"/>
        </w:rPr>
        <w:t>3. Request Financial Transparency: Insist on disclosure of current financials, burn rate, funding runway, and capital requirements to evaluate investment risk and dilution potential.</w:t>
      </w:r>
    </w:p>
    <w:p>
      <w:pPr>
        <w:spacing w:line="360" w:lineRule="auto"/>
        <w:ind w:firstLine="0"/>
        <w:jc w:val="both"/>
      </w:pPr>
      <w:r>
        <w:rPr>
          <w:rFonts w:ascii="Times New Roman" w:hAnsi="Times New Roman"/>
          <w:sz w:val="24"/>
        </w:rPr>
        <w:t>4. Conduct Competitive Benchmarking: Commission an independent comparative analysis of StoreDot’s technology vs. solid-state and other silicon-anode competitors, focusing on cost, performance, and manufacturability.</w:t>
      </w:r>
    </w:p>
    <w:p>
      <w:pPr>
        <w:spacing w:line="360" w:lineRule="auto"/>
        <w:ind w:firstLine="0"/>
        <w:jc w:val="both"/>
      </w:pPr>
      <w:r>
        <w:rPr>
          <w:rFonts w:ascii="Times New Roman" w:hAnsi="Times New Roman"/>
          <w:sz w:val="24"/>
        </w:rPr>
        <w:t>5. Assess Operational Readiness: Evaluate the company’s operational capabilities and supply chain robustness to manage scale-up and multi-partner coordination.</w:t>
      </w:r>
    </w:p>
    <w:p>
      <w:pPr>
        <w:spacing w:line="360" w:lineRule="auto"/>
        <w:ind w:firstLine="0"/>
        <w:jc w:val="both"/>
      </w:pPr>
      <w:r>
        <w:rPr>
          <w:rFonts w:ascii="Times New Roman" w:hAnsi="Times New Roman"/>
          <w:sz w:val="24"/>
        </w:rPr>
        <w:t>6. Monitor Regulatory Landscape: Ensure StoreDot has a dedicated regulatory affairs function to navigate evolving safety and environmental standards.</w:t>
      </w:r>
    </w:p>
    <w:p>
      <w:pPr>
        <w:spacing w:line="360" w:lineRule="auto"/>
        <w:ind w:firstLine="0"/>
        <w:jc w:val="both"/>
      </w:pPr>
      <w:r>
        <w:rPr>
          <w:rFonts w:ascii="Times New Roman" w:hAnsi="Times New Roman"/>
          <w:sz w:val="24"/>
        </w:rPr>
        <w:t>7. Consider Staged Investment: Structure funding in tranches tied to technical milestones (e.g., successful pilot with OEM, manufacturing scale-up) to mitigate execution risk.</w:t>
      </w:r>
    </w:p>
    <w:p>
      <w:pPr>
        <w:spacing w:line="360" w:lineRule="auto"/>
        <w:ind w:firstLine="0"/>
        <w:jc w:val="both"/>
      </w:pPr>
      <w:r>
        <w:rPr>
          <w:rFonts w:ascii="Times New Roman" w:hAnsi="Times New Roman"/>
          <w:sz w:val="24"/>
        </w:rPr>
        <w:t>8. Explore Strategic Partnerships: Encourage StoreDot to deepen collaborations with OEMs and battery manufacturers, potentially including joint ventures to share risk and accelerate adoption.</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deep-tech opportunity addressing a critical bottleneck in EV adoption with a potentially disruptive fast-charging battery technology. The company’s strengths lie in its innovative silicon-dominant anode approach, strong IP, strategic partnerships, and experienced leadership. However, significant uncertainties remain around technical validation, financial transparency, operational execution, and competitive positioning. Investors should adopt a cautious, due diligence-driven approach, emphasizing independent verification and staged capital deployment aligned with clear commercial milestones. If StoreDot can demonstrate scalable, safe, and cost-effective performance by 2025, it could become a key player in the evolving EV battery landscape with attractive exit potential.</w:t>
      </w:r>
    </w:p>
    <w:p>
      <w:pPr>
        <w:spacing w:line="360" w:lineRule="auto"/>
        <w:ind w:firstLine="0"/>
        <w:jc w:val="both"/>
      </w:pPr>
      <w:r>
        <w:rPr>
          <w:rFonts w:ascii="Times New Roman" w:hAnsi="Times New Roman"/>
          <w:sz w:val="24"/>
        </w:rPr>
        <w:t>Generated by VC Analysis System on July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