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/>
      </w:pPr>
    </w:p>
    <w:p>
      <w:pPr>
        <w:spacing w:after="0" w:before="0"/>
      </w:pPr>
    </w:p>
    <w:p>
      <w:pPr>
        <w:spacing w:after="0" w:before="0"/>
      </w:pPr>
    </w:p>
    <w:p>
      <w:pPr>
        <w:spacing w:after="0" w:before="0"/>
      </w:pPr>
    </w:p>
    <w:p>
      <w:pPr>
        <w:spacing w:after="0" w:before="0"/>
      </w:pPr>
    </w:p>
    <w:p>
      <w:pPr>
        <w:jc w:val="center"/>
      </w:pPr>
      <w:r>
        <w:drawing>
          <wp:inline distT="0" distB="0" distL="0" distR="0">
            <wp:extent cx="1905000" cy="1266825"/>
            <wp:effectExtent t="0" r="0" b="0" l="0"/>
            <wp:docPr id="1" name="Logo" descr="B2B.net S.A." title="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126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before="0"/>
      </w:pPr>
    </w:p>
    <w:p>
      <w:pPr>
        <w:spacing w:after="0" w:before="0"/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E73748"/>
          <w:sz w:val="44"/>
          <w:szCs w:val="44"/>
        </w:rPr>
        <w:t xml:space="preserve">ANALIZA PLANU ROZWOJU</w:t>
      </w:r>
    </w:p>
    <w:p>
      <w:pPr>
        <w:spacing w:after="100"/>
        <w:jc w:val="center"/>
      </w:pPr>
      <w:r>
        <w:rPr>
          <w:rFonts w:ascii="Calibri" w:cs="Calibri" w:eastAsia="Calibri" w:hAnsi="Calibri"/>
          <w:b/>
          <w:bCs/>
          <w:color w:val="3A3A3A"/>
          <w:sz w:val="36"/>
          <w:szCs w:val="36"/>
        </w:rPr>
        <w:t xml:space="preserve">ComPass v2.0</w:t>
      </w:r>
    </w:p>
    <w:p>
      <w:pPr>
        <w:spacing w:after="60"/>
        <w:jc w:val="center"/>
      </w:pPr>
      <w:r>
        <w:rPr>
          <w:rFonts w:ascii="Calibri" w:cs="Calibri" w:eastAsia="Calibri" w:hAnsi="Calibri"/>
          <w:i/>
          <w:iCs/>
          <w:color w:val="AAB4BF"/>
          <w:sz w:val="24"/>
          <w:szCs w:val="24"/>
        </w:rPr>
        <w:t xml:space="preserve">Operating System Body Leasingu</w:t>
      </w:r>
    </w:p>
    <w:p>
      <w:pPr>
        <w:spacing w:after="0" w:before="0"/>
      </w:pPr>
    </w:p>
    <w:p>
      <w:pPr>
        <w:spacing w:after="60"/>
        <w:jc w:val="center"/>
      </w:pPr>
      <w:r>
        <w:rPr>
          <w:rFonts w:ascii="Calibri" w:cs="Calibri" w:eastAsia="Calibri" w:hAnsi="Calibri"/>
          <w:color w:val="3A3A3A"/>
          <w:sz w:val="22"/>
          <w:szCs w:val="22"/>
        </w:rPr>
        <w:t xml:space="preserve">Ocena wykonalności | Analiza zależności | Rekomendacje wdrożeniowe</w:t>
      </w:r>
    </w:p>
    <w:p>
      <w:pPr>
        <w:spacing w:after="0" w:before="0"/>
      </w:pPr>
    </w:p>
    <w:p>
      <w:pPr>
        <w:spacing w:after="0" w:before="0"/>
      </w:pPr>
    </w:p>
    <w:p>
      <w:pPr>
        <w:spacing w:after="0" w:before="0"/>
      </w:pPr>
    </w:p>
    <w:p>
      <w:pPr>
        <w:jc w:val="center"/>
      </w:pPr>
      <w:r>
        <w:rPr>
          <w:rFonts w:ascii="Calibri" w:cs="Calibri" w:eastAsia="Calibri" w:hAnsi="Calibri"/>
          <w:color w:val="3A3A3A"/>
          <w:sz w:val="22"/>
          <w:szCs w:val="22"/>
        </w:rPr>
        <w:t xml:space="preserve">Wersja 1.0  |  Luty 2026</w:t>
      </w:r>
    </w:p>
    <w:p>
      <w:pPr>
        <w:jc w:val="center"/>
      </w:pPr>
      <w:r>
        <w:rPr>
          <w:rFonts w:ascii="Calibri" w:cs="Calibri" w:eastAsia="Calibri" w:hAnsi="Calibri"/>
          <w:i/>
          <w:iCs/>
          <w:color w:val="AAB4BF"/>
          <w:sz w:val="20"/>
          <w:szCs w:val="20"/>
        </w:rPr>
        <w:t xml:space="preserve">B2B.net S.A. - Dokument poufny</w:t>
      </w:r>
    </w:p>
    <w:p>
      <w:pPr>
        <w:pageBreakBefore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rPr>
          <w:trHeight w:val="120" w:hRule="exact"/>
        </w:trPr>
        <w:tc>
          <w:tcPr>
            <w:tcW w:type="dxa" w:w="9200"/>
            <w:tcBorders>
              <w:top w:val="none"/>
              <w:left w:val="none"/>
              <w:bottom w:val="none"/>
              <w:right w:val="none"/>
            </w:tcBorders>
            <w:shd w:fill="E73748" w:val="clear"/>
          </w:tcPr>
          <w:p/>
        </w:tc>
      </w:tr>
    </w:tbl>
    <w:p>
      <w:pPr>
        <w:spacing w:after="0" w:before="0"/>
      </w:pPr>
    </w:p>
    <w:p>
      <w:pPr>
        <w:spacing w:after="200" w:before="360" w:line="280"/>
        <w:jc w:val="left"/>
      </w:pPr>
      <w:r>
        <w:rPr>
          <w:rFonts w:ascii="Calibri" w:cs="Calibri" w:eastAsia="Calibri" w:hAnsi="Calibri"/>
          <w:b/>
          <w:bCs/>
          <w:color w:val="E73748"/>
          <w:sz w:val="26"/>
          <w:szCs w:val="26"/>
        </w:rPr>
        <w:t xml:space="preserve">EXECUTIVE SUMMARY</w:t>
      </w:r>
    </w:p>
    <w:p>
      <w:pPr>
        <w:spacing w:after="0" w:before="0"/>
      </w:pPr>
    </w:p>
    <w:p>
      <w:pPr>
        <w:spacing w:after="140" w:before="0" w:line="2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A3A3A"/>
          <w:sz w:val="22"/>
          <w:szCs w:val="22"/>
        </w:rPr>
        <w:t xml:space="preserve">Plan ComPass v2 to ambitna transformacja z aplikacji konsultantowej (retencja, lojalność) w pełny Operating System Body Leasingu. Wizja jest strategicznie trafna — ale wymaga krytycznej oceny wykonalności, źródeł danych i kolejności wdrożenia.</w:t>
      </w:r>
    </w:p>
    <w:p>
      <w:pPr>
        <w:spacing w:after="0" w:before="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000"/>
            <w:tcBorders>
              <w:top w:val="single" w:color="E1E1E1" w:sz="1"/>
              <w:left w:val="single" w:color="E73748" w:sz="6"/>
              <w:bottom w:val="single" w:color="E1E1E1" w:sz="1"/>
              <w:right w:val="single" w:color="E1E1E1" w:sz="1"/>
            </w:tcBorders>
            <w:shd w:fill="F5F4EC" w:val="clear"/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/>
                <w:bCs/>
                <w:color w:val="E73748"/>
                <w:sz w:val="22"/>
                <w:szCs w:val="22"/>
              </w:rPr>
              <w:t xml:space="preserve">KLUCZOWE USTALENIA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Calibri" w:cs="Calibri" w:eastAsia="Calibri" w:hAnsi="Calibri"/>
                <w:color w:val="3A3A3A"/>
                <w:sz w:val="20"/>
                <w:szCs w:val="20"/>
              </w:rPr>
              <w:t xml:space="preserve">7 z 12 nowych funkcji wymaga danych, których ComPass v1 NIE posiada — konieczna integracja z ATS/CRM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Calibri" w:cs="Calibri" w:eastAsia="Calibri" w:hAnsi="Calibri"/>
                <w:color w:val="3A3A3A"/>
                <w:sz w:val="20"/>
                <w:szCs w:val="20"/>
              </w:rPr>
              <w:t xml:space="preserve">3 funkcje (Hit Ratio, Margin Monitor, Contract Risk) są realistyczne do wdrożenia w Q2 2026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Calibri" w:cs="Calibri" w:eastAsia="Calibri" w:hAnsi="Calibri"/>
                <w:color w:val="3A3A3A"/>
                <w:sz w:val="20"/>
                <w:szCs w:val="20"/>
              </w:rPr>
              <w:t xml:space="preserve">Control Tower jest warunków — powstaje dopiero, gdy moduły bazowe dostarczają dane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Calibri" w:cs="Calibri" w:eastAsia="Calibri" w:hAnsi="Calibri"/>
                <w:color w:val="3A3A3A"/>
                <w:sz w:val="20"/>
                <w:szCs w:val="20"/>
              </w:rPr>
              <w:t xml:space="preserve">Predictive Planning (nr 12) to faza 3 — wymaga 6-12 miesięcy danych historycznych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Calibri" w:cs="Calibri" w:eastAsia="Calibri" w:hAnsi="Calibri"/>
                <w:color w:val="3A3A3A"/>
                <w:sz w:val="20"/>
                <w:szCs w:val="20"/>
              </w:rPr>
              <w:t xml:space="preserve">Brak ATS-a lub jego integracji jest showstopperem dla Etapów 1-3 planu</w:t>
            </w:r>
          </w:p>
        </w:tc>
      </w:tr>
    </w:tbl>
    <w:p>
      <w:pPr>
        <w:spacing w:after="0" w:before="0"/>
      </w:pPr>
    </w:p>
    <w:p>
      <w:pPr>
        <w:spacing w:after="140" w:before="0" w:line="2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A3A3A"/>
          <w:sz w:val="22"/>
          <w:szCs w:val="22"/>
        </w:rPr>
        <w:t xml:space="preserve">Poniżej pełna analiza każdej z 12 proponowanych funkcji z oceną gotowości, zależności danych i rekomendacją priorytetyzacji.</w:t>
      </w:r>
    </w:p>
    <w:p>
      <w:pPr>
        <w:pageBreakBefore/>
      </w:pPr>
    </w:p>
    <w:p>
      <w:pPr>
        <w:spacing w:after="200" w:before="360" w:line="280"/>
        <w:jc w:val="left"/>
      </w:pPr>
      <w:r>
        <w:rPr>
          <w:rFonts w:ascii="Calibri" w:cs="Calibri" w:eastAsia="Calibri" w:hAnsi="Calibri"/>
          <w:b/>
          <w:bCs/>
          <w:color w:val="E73748"/>
          <w:sz w:val="26"/>
          <w:szCs w:val="26"/>
        </w:rPr>
        <w:t xml:space="preserve">1. MAPOWANIE: CO JUŻ MAMY vs CO JEST NOWE</w:t>
      </w:r>
    </w:p>
    <w:p>
      <w:pPr>
        <w:spacing w:after="0" w:before="0"/>
      </w:pPr>
    </w:p>
    <w:p>
      <w:pPr>
        <w:spacing w:after="140" w:before="0" w:line="2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A3A3A"/>
          <w:sz w:val="22"/>
          <w:szCs w:val="22"/>
        </w:rPr>
        <w:t xml:space="preserve">Poniższa tabela porównuje funkcje planowane w v2 z tym, co już istnieje (lub jest specyfikowane) w ComPass v1.</w:t>
      </w:r>
    </w:p>
    <w:p>
      <w:pPr>
        <w:spacing w:after="0" w:before="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  <w:trHeight w:val="500" w:hRule="atLeast"/>
        </w:trPr>
        <w:tc>
          <w:tcPr>
            <w:tcW w:type="dxa" w:w="500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shd w:fill="E73748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Nr</w:t>
            </w:r>
          </w:p>
        </w:tc>
        <w:tc>
          <w:tcPr>
            <w:tcW w:type="dxa" w:w="2200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shd w:fill="E73748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Funkcja v2</w:t>
            </w:r>
          </w:p>
        </w:tc>
        <w:tc>
          <w:tcPr>
            <w:tcW w:type="dxa" w:w="1800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shd w:fill="E73748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Istnieje w v1?</w:t>
            </w:r>
          </w:p>
        </w:tc>
        <w:tc>
          <w:tcPr>
            <w:tcW w:type="dxa" w:w="1200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shd w:fill="E73748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Pokrycie</w:t>
            </w:r>
          </w:p>
        </w:tc>
        <w:tc>
          <w:tcPr>
            <w:tcW w:type="dxa" w:w="3500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shd w:fill="E73748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Komentarz</w:t>
            </w:r>
          </w:p>
        </w:tc>
      </w:tr>
      <w:tr>
        <w:trPr>
          <w:trHeight w:val="500" w:hRule="atLeast"/>
        </w:trPr>
        <w:tc>
          <w:tcPr>
            <w:tcW w:type="dxa" w:w="500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8"/>
                <w:szCs w:val="18"/>
              </w:rPr>
              <w:t xml:space="preserve">1</w:t>
            </w:r>
          </w:p>
        </w:tc>
        <w:tc>
          <w:tcPr>
            <w:tcW w:type="dxa" w:w="2200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3A3A3A"/>
                <w:sz w:val="18"/>
                <w:szCs w:val="18"/>
              </w:rPr>
              <w:t xml:space="preserve">Request Scoring Engine</w:t>
            </w:r>
          </w:p>
        </w:tc>
        <w:tc>
          <w:tcPr>
            <w:tcW w:type="dxa" w:w="1800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shd w:fill="FFEBEE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C0000"/>
                <w:sz w:val="18"/>
                <w:szCs w:val="18"/>
              </w:rPr>
              <w:t xml:space="preserve">NIE</w:t>
            </w:r>
          </w:p>
        </w:tc>
        <w:tc>
          <w:tcPr>
            <w:tcW w:type="dxa" w:w="1200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8"/>
                <w:szCs w:val="18"/>
              </w:rPr>
              <w:t xml:space="preserve">0%</w:t>
            </w:r>
          </w:p>
        </w:tc>
        <w:tc>
          <w:tcPr>
            <w:tcW w:type="dxa" w:w="3500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8"/>
                <w:szCs w:val="18"/>
              </w:rPr>
              <w:t xml:space="preserve">Nowy moduł. Brak modelu danych requestów w v1.</w:t>
            </w:r>
          </w:p>
        </w:tc>
      </w:tr>
      <w:tr>
        <w:trPr>
          <w:trHeight w:val="500" w:hRule="atLeast"/>
        </w:trPr>
        <w:tc>
          <w:tcPr>
            <w:tcW w:type="dxa" w:w="500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8"/>
                <w:szCs w:val="18"/>
              </w:rPr>
              <w:t xml:space="preserve">2</w:t>
            </w:r>
          </w:p>
        </w:tc>
        <w:tc>
          <w:tcPr>
            <w:tcW w:type="dxa" w:w="2200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3A3A3A"/>
                <w:sz w:val="18"/>
                <w:szCs w:val="18"/>
              </w:rPr>
              <w:t xml:space="preserve">Live Sourcing KPI</w:t>
            </w:r>
          </w:p>
        </w:tc>
        <w:tc>
          <w:tcPr>
            <w:tcW w:type="dxa" w:w="1800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shd w:fill="FFEBEE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C0000"/>
                <w:sz w:val="18"/>
                <w:szCs w:val="18"/>
              </w:rPr>
              <w:t xml:space="preserve">NIE</w:t>
            </w:r>
          </w:p>
        </w:tc>
        <w:tc>
          <w:tcPr>
            <w:tcW w:type="dxa" w:w="1200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8"/>
                <w:szCs w:val="18"/>
              </w:rPr>
              <w:t xml:space="preserve">0%</w:t>
            </w:r>
          </w:p>
        </w:tc>
        <w:tc>
          <w:tcPr>
            <w:tcW w:type="dxa" w:w="3500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8"/>
                <w:szCs w:val="18"/>
              </w:rPr>
              <w:t xml:space="preserve">Brak danych o sourcerach. Wymaga ATS.</w:t>
            </w:r>
          </w:p>
        </w:tc>
      </w:tr>
      <w:tr>
        <w:trPr>
          <w:trHeight w:val="500" w:hRule="atLeast"/>
        </w:trPr>
        <w:tc>
          <w:tcPr>
            <w:tcW w:type="dxa" w:w="500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8"/>
                <w:szCs w:val="18"/>
              </w:rPr>
              <w:t xml:space="preserve">3</w:t>
            </w:r>
          </w:p>
        </w:tc>
        <w:tc>
          <w:tcPr>
            <w:tcW w:type="dxa" w:w="2200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3A3A3A"/>
                <w:sz w:val="18"/>
                <w:szCs w:val="18"/>
              </w:rPr>
              <w:t xml:space="preserve">Pipeline Health Index</w:t>
            </w:r>
          </w:p>
        </w:tc>
        <w:tc>
          <w:tcPr>
            <w:tcW w:type="dxa" w:w="1800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shd w:fill="FFF8E1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C7700"/>
                <w:sz w:val="18"/>
                <w:szCs w:val="18"/>
              </w:rPr>
              <w:t xml:space="preserve">Częściowo</w:t>
            </w:r>
          </w:p>
        </w:tc>
        <w:tc>
          <w:tcPr>
            <w:tcW w:type="dxa" w:w="1200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8"/>
                <w:szCs w:val="18"/>
              </w:rPr>
              <w:t xml:space="preserve">20%</w:t>
            </w:r>
          </w:p>
        </w:tc>
        <w:tc>
          <w:tcPr>
            <w:tcW w:type="dxa" w:w="3500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8"/>
                <w:szCs w:val="18"/>
              </w:rPr>
              <w:t xml:space="preserve">M9 ma matching, ale nie pipeline rekrutacyjny.</w:t>
            </w:r>
          </w:p>
        </w:tc>
      </w:tr>
      <w:tr>
        <w:trPr>
          <w:trHeight w:val="500" w:hRule="atLeast"/>
        </w:trPr>
        <w:tc>
          <w:tcPr>
            <w:tcW w:type="dxa" w:w="500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8"/>
                <w:szCs w:val="18"/>
              </w:rPr>
              <w:t xml:space="preserve">4</w:t>
            </w:r>
          </w:p>
        </w:tc>
        <w:tc>
          <w:tcPr>
            <w:tcW w:type="dxa" w:w="2200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3A3A3A"/>
                <w:sz w:val="18"/>
                <w:szCs w:val="18"/>
              </w:rPr>
              <w:t xml:space="preserve">CV Quality Score</w:t>
            </w:r>
          </w:p>
        </w:tc>
        <w:tc>
          <w:tcPr>
            <w:tcW w:type="dxa" w:w="1800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shd w:fill="FFEBEE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C0000"/>
                <w:sz w:val="18"/>
                <w:szCs w:val="18"/>
              </w:rPr>
              <w:t xml:space="preserve">NIE</w:t>
            </w:r>
          </w:p>
        </w:tc>
        <w:tc>
          <w:tcPr>
            <w:tcW w:type="dxa" w:w="1200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8"/>
                <w:szCs w:val="18"/>
              </w:rPr>
              <w:t xml:space="preserve">0%</w:t>
            </w:r>
          </w:p>
        </w:tc>
        <w:tc>
          <w:tcPr>
            <w:tcW w:type="dxa" w:w="3500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8"/>
                <w:szCs w:val="18"/>
              </w:rPr>
              <w:t xml:space="preserve">Brak parsowania CV. Wymaga NLP lub rule-based.</w:t>
            </w:r>
          </w:p>
        </w:tc>
      </w:tr>
      <w:tr>
        <w:trPr>
          <w:trHeight w:val="500" w:hRule="atLeast"/>
        </w:trPr>
        <w:tc>
          <w:tcPr>
            <w:tcW w:type="dxa" w:w="500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8"/>
                <w:szCs w:val="18"/>
              </w:rPr>
              <w:t xml:space="preserve">5</w:t>
            </w:r>
          </w:p>
        </w:tc>
        <w:tc>
          <w:tcPr>
            <w:tcW w:type="dxa" w:w="2200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3A3A3A"/>
                <w:sz w:val="18"/>
                <w:szCs w:val="18"/>
              </w:rPr>
              <w:t xml:space="preserve">Interview Readiness</w:t>
            </w:r>
          </w:p>
        </w:tc>
        <w:tc>
          <w:tcPr>
            <w:tcW w:type="dxa" w:w="1800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shd w:fill="FFEBEE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C0000"/>
                <w:sz w:val="18"/>
                <w:szCs w:val="18"/>
              </w:rPr>
              <w:t xml:space="preserve">NIE</w:t>
            </w:r>
          </w:p>
        </w:tc>
        <w:tc>
          <w:tcPr>
            <w:tcW w:type="dxa" w:w="1200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8"/>
                <w:szCs w:val="18"/>
              </w:rPr>
              <w:t xml:space="preserve">0%</w:t>
            </w:r>
          </w:p>
        </w:tc>
        <w:tc>
          <w:tcPr>
            <w:tcW w:type="dxa" w:w="3500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8"/>
                <w:szCs w:val="18"/>
              </w:rPr>
              <w:t xml:space="preserve">Brak modelu danych interview w v1.</w:t>
            </w:r>
          </w:p>
        </w:tc>
      </w:tr>
      <w:tr>
        <w:trPr>
          <w:trHeight w:val="500" w:hRule="atLeast"/>
        </w:trPr>
        <w:tc>
          <w:tcPr>
            <w:tcW w:type="dxa" w:w="500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8"/>
                <w:szCs w:val="18"/>
              </w:rPr>
              <w:t xml:space="preserve">6</w:t>
            </w:r>
          </w:p>
        </w:tc>
        <w:tc>
          <w:tcPr>
            <w:tcW w:type="dxa" w:w="2200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3A3A3A"/>
                <w:sz w:val="18"/>
                <w:szCs w:val="18"/>
              </w:rPr>
              <w:t xml:space="preserve">Hit Ratio Engine</w:t>
            </w:r>
          </w:p>
        </w:tc>
        <w:tc>
          <w:tcPr>
            <w:tcW w:type="dxa" w:w="1800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shd w:fill="FFF8E1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C7700"/>
                <w:sz w:val="18"/>
                <w:szCs w:val="18"/>
              </w:rPr>
              <w:t xml:space="preserve">Częściowo</w:t>
            </w:r>
          </w:p>
        </w:tc>
        <w:tc>
          <w:tcPr>
            <w:tcW w:type="dxa" w:w="1200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8"/>
                <w:szCs w:val="18"/>
              </w:rPr>
              <w:t xml:space="preserve">30%</w:t>
            </w:r>
          </w:p>
        </w:tc>
        <w:tc>
          <w:tcPr>
            <w:tcW w:type="dxa" w:w="3500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8"/>
                <w:szCs w:val="18"/>
              </w:rPr>
              <w:t xml:space="preserve">M11 ma placement rate. Brak per-klient/per-DL.</w:t>
            </w:r>
          </w:p>
        </w:tc>
      </w:tr>
      <w:tr>
        <w:trPr>
          <w:trHeight w:val="500" w:hRule="atLeast"/>
        </w:trPr>
        <w:tc>
          <w:tcPr>
            <w:tcW w:type="dxa" w:w="500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8"/>
                <w:szCs w:val="18"/>
              </w:rPr>
              <w:t xml:space="preserve">7</w:t>
            </w:r>
          </w:p>
        </w:tc>
        <w:tc>
          <w:tcPr>
            <w:tcW w:type="dxa" w:w="2200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3A3A3A"/>
                <w:sz w:val="18"/>
                <w:szCs w:val="18"/>
              </w:rPr>
              <w:t xml:space="preserve">Win Probability Score</w:t>
            </w:r>
          </w:p>
        </w:tc>
        <w:tc>
          <w:tcPr>
            <w:tcW w:type="dxa" w:w="1800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shd w:fill="FFF8E1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C7700"/>
                <w:sz w:val="18"/>
                <w:szCs w:val="18"/>
              </w:rPr>
              <w:t xml:space="preserve">Częściowo</w:t>
            </w:r>
          </w:p>
        </w:tc>
        <w:tc>
          <w:tcPr>
            <w:tcW w:type="dxa" w:w="1200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8"/>
                <w:szCs w:val="18"/>
              </w:rPr>
              <w:t xml:space="preserve">15%</w:t>
            </w:r>
          </w:p>
        </w:tc>
        <w:tc>
          <w:tcPr>
            <w:tcW w:type="dxa" w:w="3500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8"/>
                <w:szCs w:val="18"/>
              </w:rPr>
              <w:t xml:space="preserve">M8 ma exit risk. Brak predykcji zamknięcia.</w:t>
            </w:r>
          </w:p>
        </w:tc>
      </w:tr>
      <w:tr>
        <w:trPr>
          <w:trHeight w:val="500" w:hRule="atLeast"/>
        </w:trPr>
        <w:tc>
          <w:tcPr>
            <w:tcW w:type="dxa" w:w="500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8"/>
                <w:szCs w:val="18"/>
              </w:rPr>
              <w:t xml:space="preserve">8</w:t>
            </w:r>
          </w:p>
        </w:tc>
        <w:tc>
          <w:tcPr>
            <w:tcW w:type="dxa" w:w="2200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3A3A3A"/>
                <w:sz w:val="18"/>
                <w:szCs w:val="18"/>
              </w:rPr>
              <w:t xml:space="preserve">Margin Monitor</w:t>
            </w:r>
          </w:p>
        </w:tc>
        <w:tc>
          <w:tcPr>
            <w:tcW w:type="dxa" w:w="1800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shd w:fill="FFF8E1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C7700"/>
                <w:sz w:val="18"/>
                <w:szCs w:val="18"/>
              </w:rPr>
              <w:t xml:space="preserve">Częściowo</w:t>
            </w:r>
          </w:p>
        </w:tc>
        <w:tc>
          <w:tcPr>
            <w:tcW w:type="dxa" w:w="1200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8"/>
                <w:szCs w:val="18"/>
              </w:rPr>
              <w:t xml:space="preserve">40%</w:t>
            </w:r>
          </w:p>
        </w:tc>
        <w:tc>
          <w:tcPr>
            <w:tcW w:type="dxa" w:w="3500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8"/>
                <w:szCs w:val="18"/>
              </w:rPr>
              <w:t xml:space="preserve">M11 ma churn cost. Brak real-time per kontrakt.</w:t>
            </w:r>
          </w:p>
        </w:tc>
      </w:tr>
      <w:tr>
        <w:trPr>
          <w:trHeight w:val="500" w:hRule="atLeast"/>
        </w:trPr>
        <w:tc>
          <w:tcPr>
            <w:tcW w:type="dxa" w:w="500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8"/>
                <w:szCs w:val="18"/>
              </w:rPr>
              <w:t xml:space="preserve">9</w:t>
            </w:r>
          </w:p>
        </w:tc>
        <w:tc>
          <w:tcPr>
            <w:tcW w:type="dxa" w:w="2200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3A3A3A"/>
                <w:sz w:val="18"/>
                <w:szCs w:val="18"/>
              </w:rPr>
              <w:t xml:space="preserve">Contract Risk Predictor</w:t>
            </w:r>
          </w:p>
        </w:tc>
        <w:tc>
          <w:tcPr>
            <w:tcW w:type="dxa" w:w="1800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shd w:fill="E8F5E9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28B22"/>
                <w:sz w:val="18"/>
                <w:szCs w:val="18"/>
              </w:rPr>
              <w:t xml:space="preserve">TAK</w:t>
            </w:r>
          </w:p>
        </w:tc>
        <w:tc>
          <w:tcPr>
            <w:tcW w:type="dxa" w:w="1200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8"/>
                <w:szCs w:val="18"/>
              </w:rPr>
              <w:t xml:space="preserve">70%</w:t>
            </w:r>
          </w:p>
        </w:tc>
        <w:tc>
          <w:tcPr>
            <w:tcW w:type="dxa" w:w="3500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8"/>
                <w:szCs w:val="18"/>
              </w:rPr>
              <w:t xml:space="preserve">M8 + M4 mają Health Score + Exit Risk + kontrakty.</w:t>
            </w:r>
          </w:p>
        </w:tc>
      </w:tr>
      <w:tr>
        <w:trPr>
          <w:trHeight w:val="500" w:hRule="atLeast"/>
        </w:trPr>
        <w:tc>
          <w:tcPr>
            <w:tcW w:type="dxa" w:w="500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8"/>
                <w:szCs w:val="18"/>
              </w:rPr>
              <w:t xml:space="preserve">10</w:t>
            </w:r>
          </w:p>
        </w:tc>
        <w:tc>
          <w:tcPr>
            <w:tcW w:type="dxa" w:w="2200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3A3A3A"/>
                <w:sz w:val="18"/>
                <w:szCs w:val="18"/>
              </w:rPr>
              <w:t xml:space="preserve">Cost of Churn Dashboard</w:t>
            </w:r>
          </w:p>
        </w:tc>
        <w:tc>
          <w:tcPr>
            <w:tcW w:type="dxa" w:w="1800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shd w:fill="E8F5E9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28B22"/>
                <w:sz w:val="18"/>
                <w:szCs w:val="18"/>
              </w:rPr>
              <w:t xml:space="preserve">TAK</w:t>
            </w:r>
          </w:p>
        </w:tc>
        <w:tc>
          <w:tcPr>
            <w:tcW w:type="dxa" w:w="1200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8"/>
                <w:szCs w:val="18"/>
              </w:rPr>
              <w:t xml:space="preserve">65%</w:t>
            </w:r>
          </w:p>
        </w:tc>
        <w:tc>
          <w:tcPr>
            <w:tcW w:type="dxa" w:w="3500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8"/>
                <w:szCs w:val="18"/>
              </w:rPr>
              <w:t xml:space="preserve">M11.6 + M8.5 mają utracone marże. Brak gap time.</w:t>
            </w:r>
          </w:p>
        </w:tc>
      </w:tr>
      <w:tr>
        <w:trPr>
          <w:trHeight w:val="500" w:hRule="atLeast"/>
        </w:trPr>
        <w:tc>
          <w:tcPr>
            <w:tcW w:type="dxa" w:w="500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8"/>
                <w:szCs w:val="18"/>
              </w:rPr>
              <w:t xml:space="preserve">11</w:t>
            </w:r>
          </w:p>
        </w:tc>
        <w:tc>
          <w:tcPr>
            <w:tcW w:type="dxa" w:w="2200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3A3A3A"/>
                <w:sz w:val="18"/>
                <w:szCs w:val="18"/>
              </w:rPr>
              <w:t xml:space="preserve">Control Tower</w:t>
            </w:r>
          </w:p>
        </w:tc>
        <w:tc>
          <w:tcPr>
            <w:tcW w:type="dxa" w:w="1800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shd w:fill="FFEBEE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C0000"/>
                <w:sz w:val="18"/>
                <w:szCs w:val="18"/>
              </w:rPr>
              <w:t xml:space="preserve">NIE</w:t>
            </w:r>
          </w:p>
        </w:tc>
        <w:tc>
          <w:tcPr>
            <w:tcW w:type="dxa" w:w="1200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8"/>
                <w:szCs w:val="18"/>
              </w:rPr>
              <w:t xml:space="preserve">10%</w:t>
            </w:r>
          </w:p>
        </w:tc>
        <w:tc>
          <w:tcPr>
            <w:tcW w:type="dxa" w:w="3500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8"/>
                <w:szCs w:val="18"/>
              </w:rPr>
              <w:t xml:space="preserve">Super-dashboard. Wymaga danych ze wszystkich modułów.</w:t>
            </w:r>
          </w:p>
        </w:tc>
      </w:tr>
      <w:tr>
        <w:trPr>
          <w:trHeight w:val="500" w:hRule="atLeast"/>
        </w:trPr>
        <w:tc>
          <w:tcPr>
            <w:tcW w:type="dxa" w:w="500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8"/>
                <w:szCs w:val="18"/>
              </w:rPr>
              <w:t xml:space="preserve">12</w:t>
            </w:r>
          </w:p>
        </w:tc>
        <w:tc>
          <w:tcPr>
            <w:tcW w:type="dxa" w:w="2200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3A3A3A"/>
                <w:sz w:val="18"/>
                <w:szCs w:val="18"/>
              </w:rPr>
              <w:t xml:space="preserve">Predictive Planning</w:t>
            </w:r>
          </w:p>
        </w:tc>
        <w:tc>
          <w:tcPr>
            <w:tcW w:type="dxa" w:w="1800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shd w:fill="FFEBEE" w:val="clear"/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C0000"/>
                <w:sz w:val="18"/>
                <w:szCs w:val="18"/>
              </w:rPr>
              <w:t xml:space="preserve">NIE</w:t>
            </w:r>
          </w:p>
        </w:tc>
        <w:tc>
          <w:tcPr>
            <w:tcW w:type="dxa" w:w="1200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8"/>
                <w:szCs w:val="18"/>
              </w:rPr>
              <w:t xml:space="preserve">0%</w:t>
            </w:r>
          </w:p>
        </w:tc>
        <w:tc>
          <w:tcPr>
            <w:tcW w:type="dxa" w:w="3500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8"/>
                <w:szCs w:val="18"/>
              </w:rPr>
              <w:t xml:space="preserve">Wymaga 6-12 mies. danych historycznych + symulacji.</w:t>
            </w:r>
          </w:p>
        </w:tc>
      </w:tr>
    </w:tbl>
    <w:p>
      <w:pPr>
        <w:spacing w:after="0" w:before="0"/>
      </w:pPr>
    </w:p>
    <w:p>
      <w:pPr>
        <w:spacing w:after="140" w:before="0" w:line="280"/>
        <w:jc w:val="left"/>
      </w:pPr>
      <w:r>
        <w:rPr>
          <w:rFonts w:ascii="Calibri" w:cs="Calibri" w:eastAsia="Calibri" w:hAnsi="Calibri"/>
          <w:b w:val="false"/>
          <w:bCs w:val="false"/>
          <w:i/>
          <w:iCs/>
          <w:color w:val="3A3A3A"/>
          <w:sz w:val="22"/>
          <w:szCs w:val="22"/>
        </w:rPr>
        <w:t xml:space="preserve">Legenda: TAK = moduł v1 pokrywa większość logiki, Częściowo = część danych istnieje, NIE = wymaga budowy od zera.</w:t>
      </w:r>
    </w:p>
    <w:p>
      <w:pPr>
        <w:pageBreakBefore/>
      </w:pPr>
    </w:p>
    <w:p>
      <w:pPr>
        <w:spacing w:after="200" w:before="360" w:line="280"/>
        <w:jc w:val="left"/>
      </w:pPr>
      <w:r>
        <w:rPr>
          <w:rFonts w:ascii="Calibri" w:cs="Calibri" w:eastAsia="Calibri" w:hAnsi="Calibri"/>
          <w:b/>
          <w:bCs/>
          <w:color w:val="E73748"/>
          <w:sz w:val="26"/>
          <w:szCs w:val="26"/>
        </w:rPr>
        <w:t xml:space="preserve">2. KRYTYCZNA ANALIZA: GDZIE SĄ DANE?</w:t>
      </w:r>
    </w:p>
    <w:p>
      <w:pPr>
        <w:spacing w:after="0" w:before="0"/>
      </w:pPr>
    </w:p>
    <w:p>
      <w:pPr>
        <w:spacing w:after="140" w:before="0" w:line="2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A3A3A"/>
          <w:sz w:val="22"/>
          <w:szCs w:val="22"/>
        </w:rPr>
        <w:t xml:space="preserve">Najważniejsze pytanie planu v2 nie brzmi ${PQ}co zbudować${PQC}, ale ${PQ}skąd wziąć dane${PQC}. Plan zakłada dostępność danych, które w wielu przypadkach nie istnieją.</w:t>
      </w:r>
    </w:p>
    <w:p>
      <w:pPr>
        <w:spacing w:after="0" w:before="0"/>
      </w:pPr>
    </w:p>
    <w:p>
      <w:pPr>
        <w:spacing w:after="160" w:before="280" w:line="280"/>
        <w:jc w:val="left"/>
      </w:pPr>
      <w:r>
        <w:rPr>
          <w:rFonts w:ascii="Calibri" w:cs="Calibri" w:eastAsia="Calibri" w:hAnsi="Calibri"/>
          <w:b/>
          <w:bCs/>
          <w:color w:val="3A3A3A"/>
          <w:sz w:val="24"/>
          <w:szCs w:val="24"/>
        </w:rPr>
        <w:t xml:space="preserve">2.1. Etapy 1-3 (Demand, Sourcing, Qualification) — SHOWSTOPPER</w:t>
      </w:r>
    </w:p>
    <w:p>
      <w:pPr>
        <w:spacing w:after="0" w:before="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000"/>
            <w:tcBorders>
              <w:top w:val="single" w:color="E1E1E1" w:sz="1"/>
              <w:left w:val="single" w:color="CC0000" w:sz="6"/>
              <w:bottom w:val="single" w:color="E1E1E1" w:sz="1"/>
              <w:right w:val="single" w:color="E1E1E1" w:sz="1"/>
            </w:tcBorders>
            <w:shd w:fill="F5F4EC" w:val="clear"/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/>
                <w:bCs/>
                <w:color w:val="CC0000"/>
                <w:sz w:val="22"/>
                <w:szCs w:val="22"/>
              </w:rPr>
              <w:t xml:space="preserve">PROBLEM KRYTYCZNY: Brak ATS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Calibri" w:cs="Calibri" w:eastAsia="Calibri" w:hAnsi="Calibri"/>
                <w:color w:val="3A3A3A"/>
                <w:sz w:val="20"/>
                <w:szCs w:val="20"/>
              </w:rPr>
              <w:t xml:space="preserve">Request Scoring, Sourcing KPI, Pipeline Health, CV Quality, Interview Readiness — wszystkie wymagają danych z systemu ATS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Calibri" w:cs="Calibri" w:eastAsia="Calibri" w:hAnsi="Calibri"/>
                <w:color w:val="3A3A3A"/>
                <w:sz w:val="20"/>
                <w:szCs w:val="20"/>
              </w:rPr>
              <w:t xml:space="preserve">ComPass v1 NIE ma modułu ATS. Nie zbiera danych o requestach klientów, kandydatach, CV, interview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Calibri" w:cs="Calibri" w:eastAsia="Calibri" w:hAnsi="Calibri"/>
                <w:color w:val="3A3A3A"/>
                <w:sz w:val="20"/>
                <w:szCs w:val="20"/>
              </w:rPr>
              <w:t xml:space="preserve">Bez integracji z zewnętrznym ATS (np. Bullhorn, Lever, Recruitee) lub budowy własnego — Etapy 1-3 są niemożliwe</w:t>
            </w:r>
          </w:p>
        </w:tc>
      </w:tr>
    </w:tbl>
    <w:p>
      <w:pPr>
        <w:spacing w:after="0" w:before="0"/>
      </w:pPr>
    </w:p>
    <w:p>
      <w:pPr>
        <w:spacing w:after="140" w:before="0" w:line="28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3A3A3A"/>
          <w:sz w:val="22"/>
          <w:szCs w:val="22"/>
        </w:rPr>
        <w:t xml:space="preserve">REKOMENDACJA: Zanim przystąpimy do Etapów 1-3, należy podjąć decyzję strategiczną:</w:t>
      </w:r>
    </w:p>
    <w:p>
      <w:pPr>
        <w:pStyle w:val="ListParagraph"/>
        <w:numPr>
          <w:ilvl w:val="0"/>
          <w:numId w:val="2"/>
        </w:numPr>
        <w:spacing w:after="40" w:before="40" w:line="280"/>
        <w:jc w:val="left"/>
      </w:pPr>
      <w:r>
        <w:rPr>
          <w:rFonts w:ascii="Calibri" w:cs="Calibri" w:eastAsia="Calibri" w:hAnsi="Calibri"/>
          <w:b w:val="false"/>
          <w:bCs w:val="false"/>
          <w:color w:val="3A3A3A"/>
          <w:sz w:val="22"/>
          <w:szCs w:val="22"/>
        </w:rPr>
        <w:t xml:space="preserve">Opcja A: Integracja ComPass z istniejącym ATS (jeśli B2B.net używa) — API connector</w:t>
      </w:r>
    </w:p>
    <w:p>
      <w:pPr>
        <w:pStyle w:val="ListParagraph"/>
        <w:numPr>
          <w:ilvl w:val="0"/>
          <w:numId w:val="2"/>
        </w:numPr>
        <w:spacing w:after="40" w:before="40" w:line="280"/>
        <w:jc w:val="left"/>
      </w:pPr>
      <w:r>
        <w:rPr>
          <w:rFonts w:ascii="Calibri" w:cs="Calibri" w:eastAsia="Calibri" w:hAnsi="Calibri"/>
          <w:b w:val="false"/>
          <w:bCs w:val="false"/>
          <w:color w:val="3A3A3A"/>
          <w:sz w:val="22"/>
          <w:szCs w:val="22"/>
        </w:rPr>
        <w:t xml:space="preserve">Opcja B: Budowa lekkiego modułu ATS wewnątrz ComPass (3-4 miesiące pracy)</w:t>
      </w:r>
    </w:p>
    <w:p>
      <w:pPr>
        <w:pStyle w:val="ListParagraph"/>
        <w:numPr>
          <w:ilvl w:val="0"/>
          <w:numId w:val="2"/>
        </w:numPr>
        <w:spacing w:after="40" w:before="40" w:line="280"/>
        <w:jc w:val="left"/>
      </w:pPr>
      <w:r>
        <w:rPr>
          <w:rFonts w:ascii="Calibri" w:cs="Calibri" w:eastAsia="Calibri" w:hAnsi="Calibri"/>
          <w:b w:val="false"/>
          <w:bCs w:val="false"/>
          <w:color w:val="3A3A3A"/>
          <w:sz w:val="22"/>
          <w:szCs w:val="22"/>
        </w:rPr>
        <w:t xml:space="preserve">Opcja C: Porzucenie Etapów 1-3 i skupienie się na Etapach 4-6 (gdzie dane już są)</w:t>
      </w:r>
    </w:p>
    <w:p>
      <w:pPr>
        <w:spacing w:after="0" w:before="0"/>
      </w:pPr>
    </w:p>
    <w:p>
      <w:pPr>
        <w:spacing w:after="160" w:before="280" w:line="280"/>
        <w:jc w:val="left"/>
      </w:pPr>
      <w:r>
        <w:rPr>
          <w:rFonts w:ascii="Calibri" w:cs="Calibri" w:eastAsia="Calibri" w:hAnsi="Calibri"/>
          <w:b/>
          <w:bCs/>
          <w:color w:val="3A3A3A"/>
          <w:sz w:val="24"/>
          <w:szCs w:val="24"/>
        </w:rPr>
        <w:t xml:space="preserve">2.2. Etap 4 (Client Submission) — REALISTYCZNY z warunkami</w:t>
      </w:r>
    </w:p>
    <w:p>
      <w:pPr>
        <w:spacing w:after="140" w:before="0" w:line="2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A3A3A"/>
          <w:sz w:val="22"/>
          <w:szCs w:val="22"/>
        </w:rPr>
        <w:t xml:space="preserve">Hit Ratio Engine wymaga historycznych danych o submisji CV i wynikach. Jeśli B2B.net przechowuje te dane (choćby w Excelu), można je zaimportować do ComPass i zbudować engine. Jest to wykonalne w 6-8 tygodni.</w:t>
      </w:r>
    </w:p>
    <w:p>
      <w:pPr>
        <w:spacing w:after="0" w:before="0"/>
      </w:pPr>
    </w:p>
    <w:p>
      <w:pPr>
        <w:spacing w:after="160" w:before="280" w:line="280"/>
        <w:jc w:val="left"/>
      </w:pPr>
      <w:r>
        <w:rPr>
          <w:rFonts w:ascii="Calibri" w:cs="Calibri" w:eastAsia="Calibri" w:hAnsi="Calibri"/>
          <w:b/>
          <w:bCs/>
          <w:color w:val="3A3A3A"/>
          <w:sz w:val="24"/>
          <w:szCs w:val="24"/>
        </w:rPr>
        <w:t xml:space="preserve">2.3. Etapy 5-6 (Interview, Engagement) — GOTOWE LUB BLISKIE</w:t>
      </w:r>
    </w:p>
    <w:p>
      <w:pPr>
        <w:spacing w:after="140" w:before="0" w:line="2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A3A3A"/>
          <w:sz w:val="22"/>
          <w:szCs w:val="22"/>
        </w:rPr>
        <w:t xml:space="preserve">Margin Monitor, Contract Risk Predictor, Cost of Churn — to funkcje, które opierają się na danych już obecnych w v1: kontrakty, stawki, Health Score, historia. To jest ${PQ}low-hanging fruit${PQC} do szybkiego wdrożenia.</w:t>
      </w:r>
    </w:p>
    <w:p>
      <w:pPr>
        <w:pageBreakBefore/>
      </w:pPr>
    </w:p>
    <w:p>
      <w:pPr>
        <w:spacing w:after="200" w:before="360" w:line="280"/>
        <w:jc w:val="left"/>
      </w:pPr>
      <w:r>
        <w:rPr>
          <w:rFonts w:ascii="Calibri" w:cs="Calibri" w:eastAsia="Calibri" w:hAnsi="Calibri"/>
          <w:b/>
          <w:bCs/>
          <w:color w:val="E73748"/>
          <w:sz w:val="26"/>
          <w:szCs w:val="26"/>
        </w:rPr>
        <w:t xml:space="preserve">3. ANALIZA SZCZEGÓŁOWA — 12 FUNKCJI</w:t>
      </w:r>
    </w:p>
    <w:p>
      <w:pPr>
        <w:spacing w:after="0" w:before="0"/>
      </w:pPr>
    </w:p>
    <w:p>
      <w:pPr>
        <w:spacing w:after="160" w:before="280" w:line="280"/>
        <w:jc w:val="left"/>
      </w:pPr>
      <w:r>
        <w:rPr>
          <w:rFonts w:ascii="Calibri" w:cs="Calibri" w:eastAsia="Calibri" w:hAnsi="Calibri"/>
          <w:b/>
          <w:bCs/>
          <w:color w:val="3A3A3A"/>
          <w:sz w:val="24"/>
          <w:szCs w:val="24"/>
        </w:rPr>
        <w:t xml:space="preserve">F1: Request Scoring Engine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000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3A3A3A"/>
                <w:sz w:val="18"/>
                <w:szCs w:val="18"/>
              </w:rPr>
              <w:t xml:space="preserve">Gotowość danych</w:t>
            </w:r>
          </w:p>
        </w:tc>
        <w:tc>
          <w:tcPr>
            <w:tcW w:type="dxa" w:w="6000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CC0000"/>
                <w:sz w:val="18"/>
                <w:szCs w:val="18"/>
              </w:rPr>
              <w:t xml:space="preserve">0% — brak modelu requestów w v1</w:t>
            </w:r>
          </w:p>
        </w:tc>
      </w:tr>
      <w:tr>
        <w:tc>
          <w:tcPr>
            <w:tcW w:type="dxa" w:w="3000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3A3A3A"/>
                <w:sz w:val="18"/>
                <w:szCs w:val="18"/>
              </w:rPr>
              <w:t xml:space="preserve">Złożoność techniczna</w:t>
            </w:r>
          </w:p>
        </w:tc>
        <w:tc>
          <w:tcPr>
            <w:tcW w:type="dxa" w:w="6000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8"/>
                <w:szCs w:val="18"/>
              </w:rPr>
              <w:t xml:space="preserve">Średnia — rule-based scoring, formularze</w:t>
            </w:r>
          </w:p>
        </w:tc>
      </w:tr>
      <w:tr>
        <w:tc>
          <w:tcPr>
            <w:tcW w:type="dxa" w:w="3000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3A3A3A"/>
                <w:sz w:val="18"/>
                <w:szCs w:val="18"/>
              </w:rPr>
              <w:t xml:space="preserve">Zależności</w:t>
            </w:r>
          </w:p>
        </w:tc>
        <w:tc>
          <w:tcPr>
            <w:tcW w:type="dxa" w:w="6000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8"/>
                <w:szCs w:val="18"/>
              </w:rPr>
              <w:t xml:space="preserve">ATS lub nowy moduł intake requestów</w:t>
            </w:r>
          </w:p>
        </w:tc>
      </w:tr>
      <w:tr>
        <w:tc>
          <w:tcPr>
            <w:tcW w:type="dxa" w:w="3000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3A3A3A"/>
                <w:sz w:val="18"/>
                <w:szCs w:val="18"/>
              </w:rPr>
              <w:t xml:space="preserve">Szacowany czas</w:t>
            </w:r>
          </w:p>
        </w:tc>
        <w:tc>
          <w:tcPr>
            <w:tcW w:type="dxa" w:w="6000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8"/>
                <w:szCs w:val="18"/>
              </w:rPr>
              <w:t xml:space="preserve">8-12 tygodni (z budową intake)</w:t>
            </w:r>
          </w:p>
        </w:tc>
      </w:tr>
      <w:tr>
        <w:tc>
          <w:tcPr>
            <w:tcW w:type="dxa" w:w="3000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CC0000"/>
                <w:sz w:val="18"/>
                <w:szCs w:val="18"/>
              </w:rPr>
              <w:t xml:space="preserve">WERDYKT</w:t>
            </w:r>
          </w:p>
        </w:tc>
        <w:tc>
          <w:tcPr>
            <w:tcW w:type="dxa" w:w="6000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CC0000"/>
                <w:sz w:val="18"/>
                <w:szCs w:val="18"/>
              </w:rPr>
              <w:t xml:space="preserve">ODROCZONE — wymaga ATS. Priorytet po decyzji o ATS.</w:t>
            </w:r>
          </w:p>
        </w:tc>
      </w:tr>
    </w:tbl>
    <w:p>
      <w:pPr>
        <w:spacing w:after="0" w:before="0"/>
      </w:pPr>
    </w:p>
    <w:p>
      <w:pPr>
        <w:spacing w:after="140" w:before="0" w:line="2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A3A3A"/>
          <w:sz w:val="22"/>
          <w:szCs w:val="22"/>
        </w:rPr>
        <w:t xml:space="preserve">Uwaga: Scoring jako algorytm jest prosty. Problem leży w tym, że nie mamy skąd brać danych o requestach. Każdy request musiaaby być wprowadzany do systemu — co wymaga całego workflow intake.</w:t>
      </w:r>
    </w:p>
    <w:p>
      <w:pPr>
        <w:spacing w:after="0" w:before="0"/>
      </w:pPr>
    </w:p>
    <w:p>
      <w:pPr>
        <w:spacing w:after="160" w:before="280" w:line="280"/>
        <w:jc w:val="left"/>
      </w:pPr>
      <w:r>
        <w:rPr>
          <w:rFonts w:ascii="Calibri" w:cs="Calibri" w:eastAsia="Calibri" w:hAnsi="Calibri"/>
          <w:b/>
          <w:bCs/>
          <w:color w:val="3A3A3A"/>
          <w:sz w:val="24"/>
          <w:szCs w:val="24"/>
        </w:rPr>
        <w:t xml:space="preserve">F2: Live Sourcing KPI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000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3A3A3A"/>
                <w:sz w:val="18"/>
                <w:szCs w:val="18"/>
              </w:rPr>
              <w:t xml:space="preserve">Gotowość danych</w:t>
            </w:r>
          </w:p>
        </w:tc>
        <w:tc>
          <w:tcPr>
            <w:tcW w:type="dxa" w:w="6000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CC0000"/>
                <w:sz w:val="18"/>
                <w:szCs w:val="18"/>
              </w:rPr>
              <w:t xml:space="preserve">0% — brak danych o sourcerach i ich aktywności</w:t>
            </w:r>
          </w:p>
        </w:tc>
      </w:tr>
      <w:tr>
        <w:tc>
          <w:tcPr>
            <w:tcW w:type="dxa" w:w="3000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3A3A3A"/>
                <w:sz w:val="18"/>
                <w:szCs w:val="18"/>
              </w:rPr>
              <w:t xml:space="preserve">Złożoność techniczna</w:t>
            </w:r>
          </w:p>
        </w:tc>
        <w:tc>
          <w:tcPr>
            <w:tcW w:type="dxa" w:w="6000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8"/>
                <w:szCs w:val="18"/>
              </w:rPr>
              <w:t xml:space="preserve">Niska — dashboardy, metryki</w:t>
            </w:r>
          </w:p>
        </w:tc>
      </w:tr>
      <w:tr>
        <w:tc>
          <w:tcPr>
            <w:tcW w:type="dxa" w:w="3000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3A3A3A"/>
                <w:sz w:val="18"/>
                <w:szCs w:val="18"/>
              </w:rPr>
              <w:t xml:space="preserve">Zależności</w:t>
            </w:r>
          </w:p>
        </w:tc>
        <w:tc>
          <w:tcPr>
            <w:tcW w:type="dxa" w:w="6000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8"/>
                <w:szCs w:val="18"/>
              </w:rPr>
              <w:t xml:space="preserve">ATS z logowaniem aktywności sourcerów</w:t>
            </w:r>
          </w:p>
        </w:tc>
      </w:tr>
      <w:tr>
        <w:tc>
          <w:tcPr>
            <w:tcW w:type="dxa" w:w="3000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CC0000"/>
                <w:sz w:val="18"/>
                <w:szCs w:val="18"/>
              </w:rPr>
              <w:t xml:space="preserve">WERDYKT</w:t>
            </w:r>
          </w:p>
        </w:tc>
        <w:tc>
          <w:tcPr>
            <w:tcW w:type="dxa" w:w="6000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CC0000"/>
                <w:sz w:val="18"/>
                <w:szCs w:val="18"/>
              </w:rPr>
              <w:t xml:space="preserve">ODROCZONE — wymaga ATS z granularnym trackingiem aktywności</w:t>
            </w:r>
          </w:p>
        </w:tc>
      </w:tr>
    </w:tbl>
    <w:p>
      <w:pPr>
        <w:spacing w:after="0" w:before="0"/>
      </w:pPr>
    </w:p>
    <w:p>
      <w:pPr>
        <w:spacing w:after="160" w:before="280" w:line="280"/>
        <w:jc w:val="left"/>
      </w:pPr>
      <w:r>
        <w:rPr>
          <w:rFonts w:ascii="Calibri" w:cs="Calibri" w:eastAsia="Calibri" w:hAnsi="Calibri"/>
          <w:b/>
          <w:bCs/>
          <w:color w:val="3A3A3A"/>
          <w:sz w:val="24"/>
          <w:szCs w:val="24"/>
        </w:rPr>
        <w:t xml:space="preserve">F3: Pipeline Health Index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000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3A3A3A"/>
                <w:sz w:val="18"/>
                <w:szCs w:val="18"/>
              </w:rPr>
              <w:t xml:space="preserve">Gotowość danych</w:t>
            </w:r>
          </w:p>
        </w:tc>
        <w:tc>
          <w:tcPr>
            <w:tcW w:type="dxa" w:w="6000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CC7700"/>
                <w:sz w:val="18"/>
                <w:szCs w:val="18"/>
              </w:rPr>
              <w:t xml:space="preserve">20% — M9 ma matching engine, ale nie pipeline rekrutacyjny</w:t>
            </w:r>
          </w:p>
        </w:tc>
      </w:tr>
      <w:tr>
        <w:tc>
          <w:tcPr>
            <w:tcW w:type="dxa" w:w="3000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3A3A3A"/>
                <w:sz w:val="18"/>
                <w:szCs w:val="18"/>
              </w:rPr>
              <w:t xml:space="preserve">Złożoność techniczna</w:t>
            </w:r>
          </w:p>
        </w:tc>
        <w:tc>
          <w:tcPr>
            <w:tcW w:type="dxa" w:w="6000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8"/>
                <w:szCs w:val="18"/>
              </w:rPr>
              <w:t xml:space="preserve">Wysoka — algorytm agregujący wiele źródeł</w:t>
            </w:r>
          </w:p>
        </w:tc>
      </w:tr>
      <w:tr>
        <w:tc>
          <w:tcPr>
            <w:tcW w:type="dxa" w:w="3000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CC7700"/>
                <w:sz w:val="18"/>
                <w:szCs w:val="18"/>
              </w:rPr>
              <w:t xml:space="preserve">WERDYKT</w:t>
            </w:r>
          </w:p>
        </w:tc>
        <w:tc>
          <w:tcPr>
            <w:tcW w:type="dxa" w:w="6000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CC7700"/>
                <w:sz w:val="18"/>
                <w:szCs w:val="18"/>
              </w:rPr>
              <w:t xml:space="preserve">WARUNKOWO — możliwy w uproszczonej wersji (capacity vs demand) po budowie intake</w:t>
            </w:r>
          </w:p>
        </w:tc>
      </w:tr>
    </w:tbl>
    <w:p>
      <w:pPr>
        <w:spacing w:after="0" w:before="0"/>
      </w:pPr>
    </w:p>
    <w:p>
      <w:pPr>
        <w:spacing w:after="160" w:before="280" w:line="280"/>
        <w:jc w:val="left"/>
      </w:pPr>
      <w:r>
        <w:rPr>
          <w:rFonts w:ascii="Calibri" w:cs="Calibri" w:eastAsia="Calibri" w:hAnsi="Calibri"/>
          <w:b/>
          <w:bCs/>
          <w:color w:val="3A3A3A"/>
          <w:sz w:val="24"/>
          <w:szCs w:val="24"/>
        </w:rPr>
        <w:t xml:space="preserve">F4: CV Quality Score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000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3A3A3A"/>
                <w:sz w:val="18"/>
                <w:szCs w:val="18"/>
              </w:rPr>
              <w:t xml:space="preserve">Gotowość danych</w:t>
            </w:r>
          </w:p>
        </w:tc>
        <w:tc>
          <w:tcPr>
            <w:tcW w:type="dxa" w:w="6000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CC0000"/>
                <w:sz w:val="18"/>
                <w:szCs w:val="18"/>
              </w:rPr>
              <w:t xml:space="preserve">0% — ComPass nie przechowuje ani nie parsuje CV</w:t>
            </w:r>
          </w:p>
        </w:tc>
      </w:tr>
      <w:tr>
        <w:tc>
          <w:tcPr>
            <w:tcW w:type="dxa" w:w="3000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3A3A3A"/>
                <w:sz w:val="18"/>
                <w:szCs w:val="18"/>
              </w:rPr>
              <w:t xml:space="preserve">Złożoność techniczna</w:t>
            </w:r>
          </w:p>
        </w:tc>
        <w:tc>
          <w:tcPr>
            <w:tcW w:type="dxa" w:w="6000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8"/>
                <w:szCs w:val="18"/>
              </w:rPr>
              <w:t xml:space="preserve">Wysoka — NLP/AI do analizy jakości CV, lub rule-based z ekstrakcją</w:t>
            </w:r>
          </w:p>
        </w:tc>
      </w:tr>
      <w:tr>
        <w:tc>
          <w:tcPr>
            <w:tcW w:type="dxa" w:w="3000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CC0000"/>
                <w:sz w:val="18"/>
                <w:szCs w:val="18"/>
              </w:rPr>
              <w:t xml:space="preserve">WERDYKT</w:t>
            </w:r>
          </w:p>
        </w:tc>
        <w:tc>
          <w:tcPr>
            <w:tcW w:type="dxa" w:w="6000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CC0000"/>
                <w:sz w:val="18"/>
                <w:szCs w:val="18"/>
              </w:rPr>
              <w:t xml:space="preserve">ODROCZONE — wymaga storage CV + parsera. Rozważ integrację z AI (GPT/Claude API).</w:t>
            </w:r>
          </w:p>
        </w:tc>
      </w:tr>
    </w:tbl>
    <w:p>
      <w:pPr>
        <w:spacing w:after="0" w:before="0"/>
      </w:pPr>
    </w:p>
    <w:p>
      <w:pPr>
        <w:spacing w:after="160" w:before="280" w:line="280"/>
        <w:jc w:val="left"/>
      </w:pPr>
      <w:r>
        <w:rPr>
          <w:rFonts w:ascii="Calibri" w:cs="Calibri" w:eastAsia="Calibri" w:hAnsi="Calibri"/>
          <w:b/>
          <w:bCs/>
          <w:color w:val="3A3A3A"/>
          <w:sz w:val="24"/>
          <w:szCs w:val="24"/>
        </w:rPr>
        <w:t xml:space="preserve">F5: Interview Readiness Tracker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000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3A3A3A"/>
                <w:sz w:val="18"/>
                <w:szCs w:val="18"/>
              </w:rPr>
              <w:t xml:space="preserve">Gotowość danych</w:t>
            </w:r>
          </w:p>
        </w:tc>
        <w:tc>
          <w:tcPr>
            <w:tcW w:type="dxa" w:w="6000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CC0000"/>
                <w:sz w:val="18"/>
                <w:szCs w:val="18"/>
              </w:rPr>
              <w:t xml:space="preserve">0% — brak modelu interview i prep w v1</w:t>
            </w:r>
          </w:p>
        </w:tc>
      </w:tr>
      <w:tr>
        <w:tc>
          <w:tcPr>
            <w:tcW w:type="dxa" w:w="3000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3A3A3A"/>
                <w:sz w:val="18"/>
                <w:szCs w:val="18"/>
              </w:rPr>
              <w:t xml:space="preserve">Złożoność techniczna</w:t>
            </w:r>
          </w:p>
        </w:tc>
        <w:tc>
          <w:tcPr>
            <w:tcW w:type="dxa" w:w="6000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8"/>
                <w:szCs w:val="18"/>
              </w:rPr>
              <w:t xml:space="preserve">Niska — workflow z checklistami</w:t>
            </w:r>
          </w:p>
        </w:tc>
      </w:tr>
      <w:tr>
        <w:tc>
          <w:tcPr>
            <w:tcW w:type="dxa" w:w="3000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CC7700"/>
                <w:sz w:val="18"/>
                <w:szCs w:val="18"/>
              </w:rPr>
              <w:t xml:space="preserve">WERDYKT</w:t>
            </w:r>
          </w:p>
        </w:tc>
        <w:tc>
          <w:tcPr>
            <w:tcW w:type="dxa" w:w="6000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CC7700"/>
                <w:sz w:val="18"/>
                <w:szCs w:val="18"/>
              </w:rPr>
              <w:t xml:space="preserve">MOŻLIWY jako lekki moduł standalone. Nie wymaga pełnego ATS.</w:t>
            </w:r>
          </w:p>
        </w:tc>
      </w:tr>
    </w:tbl>
    <w:p>
      <w:pPr>
        <w:spacing w:after="0" w:before="0"/>
      </w:pPr>
    </w:p>
    <w:p>
      <w:pPr>
        <w:pageBreakBefore/>
      </w:pPr>
    </w:p>
    <w:p>
      <w:pPr>
        <w:spacing w:after="160" w:before="280" w:line="280"/>
        <w:jc w:val="left"/>
      </w:pPr>
      <w:r>
        <w:rPr>
          <w:rFonts w:ascii="Calibri" w:cs="Calibri" w:eastAsia="Calibri" w:hAnsi="Calibri"/>
          <w:b/>
          <w:bCs/>
          <w:color w:val="3A3A3A"/>
          <w:sz w:val="24"/>
          <w:szCs w:val="24"/>
        </w:rPr>
        <w:t xml:space="preserve">F6: Hit Ratio Engine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000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3A3A3A"/>
                <w:sz w:val="18"/>
                <w:szCs w:val="18"/>
              </w:rPr>
              <w:t xml:space="preserve">Gotowość danych</w:t>
            </w:r>
          </w:p>
        </w:tc>
        <w:tc>
          <w:tcPr>
            <w:tcW w:type="dxa" w:w="6000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CC7700"/>
                <w:sz w:val="18"/>
                <w:szCs w:val="18"/>
              </w:rPr>
              <w:t xml:space="preserve">30% — M11 ma placement rate, M9 ma submissions. Brak granularności per klient/DL.</w:t>
            </w:r>
          </w:p>
        </w:tc>
      </w:tr>
      <w:tr>
        <w:tc>
          <w:tcPr>
            <w:tcW w:type="dxa" w:w="3000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3A3A3A"/>
                <w:sz w:val="18"/>
                <w:szCs w:val="18"/>
              </w:rPr>
              <w:t xml:space="preserve">Złożoność techniczna</w:t>
            </w:r>
          </w:p>
        </w:tc>
        <w:tc>
          <w:tcPr>
            <w:tcW w:type="dxa" w:w="6000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8"/>
                <w:szCs w:val="18"/>
              </w:rPr>
              <w:t xml:space="preserve">Średnia — agregacja i wizualizacja danych z istniejących tabel</w:t>
            </w:r>
          </w:p>
        </w:tc>
      </w:tr>
      <w:tr>
        <w:tc>
          <w:tcPr>
            <w:tcW w:type="dxa" w:w="3000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3A3A3A"/>
                <w:sz w:val="18"/>
                <w:szCs w:val="18"/>
              </w:rPr>
              <w:t xml:space="preserve">Zależności</w:t>
            </w:r>
          </w:p>
        </w:tc>
        <w:tc>
          <w:tcPr>
            <w:tcW w:type="dxa" w:w="6000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8"/>
                <w:szCs w:val="18"/>
              </w:rPr>
              <w:t xml:space="preserve">Historyczny import danych o submisji (Excel?) + rozszerzenie modelu danych</w:t>
            </w:r>
          </w:p>
        </w:tc>
      </w:tr>
      <w:tr>
        <w:tc>
          <w:tcPr>
            <w:tcW w:type="dxa" w:w="3000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3A3A3A"/>
                <w:sz w:val="18"/>
                <w:szCs w:val="18"/>
              </w:rPr>
              <w:t xml:space="preserve">Szacowany czas</w:t>
            </w:r>
          </w:p>
        </w:tc>
        <w:tc>
          <w:tcPr>
            <w:tcW w:type="dxa" w:w="6000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8"/>
                <w:szCs w:val="18"/>
              </w:rPr>
              <w:t xml:space="preserve">6-8 tygodni (z importem danych historycznych)</w:t>
            </w:r>
          </w:p>
        </w:tc>
      </w:tr>
      <w:tr>
        <w:tc>
          <w:tcPr>
            <w:tcW w:type="dxa" w:w="3000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8B22"/>
                <w:sz w:val="18"/>
                <w:szCs w:val="18"/>
              </w:rPr>
              <w:t xml:space="preserve">WERDYKT</w:t>
            </w:r>
          </w:p>
        </w:tc>
        <w:tc>
          <w:tcPr>
            <w:tcW w:type="dxa" w:w="6000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8B22"/>
                <w:sz w:val="18"/>
                <w:szCs w:val="18"/>
              </w:rPr>
              <w:t xml:space="preserve">REKOMENDOWANY DO WDR. — Quick win z wysokim ROI. Wymaga importu historii.</w:t>
            </w:r>
          </w:p>
        </w:tc>
      </w:tr>
    </w:tbl>
    <w:p>
      <w:pPr>
        <w:spacing w:after="0" w:before="0"/>
      </w:pPr>
    </w:p>
    <w:p>
      <w:pPr>
        <w:spacing w:after="140" w:before="0" w:line="28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3A3A3A"/>
          <w:sz w:val="22"/>
          <w:szCs w:val="22"/>
        </w:rPr>
        <w:t xml:space="preserve">Uwaga: To jedna z 3 rekomendowanych funkcji do natychmiastowego wdrożenia. Hit Ratio per klient i per DL to game-changer dla Delivery Leadów.</w:t>
      </w:r>
    </w:p>
    <w:p>
      <w:pPr>
        <w:spacing w:after="0" w:before="0"/>
      </w:pPr>
    </w:p>
    <w:p>
      <w:pPr>
        <w:spacing w:after="160" w:before="280" w:line="280"/>
        <w:jc w:val="left"/>
      </w:pPr>
      <w:r>
        <w:rPr>
          <w:rFonts w:ascii="Calibri" w:cs="Calibri" w:eastAsia="Calibri" w:hAnsi="Calibri"/>
          <w:b/>
          <w:bCs/>
          <w:color w:val="3A3A3A"/>
          <w:sz w:val="24"/>
          <w:szCs w:val="24"/>
        </w:rPr>
        <w:t xml:space="preserve">F7: Win Probability Score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000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3A3A3A"/>
                <w:sz w:val="18"/>
                <w:szCs w:val="18"/>
              </w:rPr>
              <w:t xml:space="preserve">Gotowość danych</w:t>
            </w:r>
          </w:p>
        </w:tc>
        <w:tc>
          <w:tcPr>
            <w:tcW w:type="dxa" w:w="6000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CC7700"/>
                <w:sz w:val="18"/>
                <w:szCs w:val="18"/>
              </w:rPr>
              <w:t xml:space="preserve">15% — M8 ma Exit Risk, ale nie predykcję zamknięcia procesu rekrutacyjnego</w:t>
            </w:r>
          </w:p>
        </w:tc>
      </w:tr>
      <w:tr>
        <w:tc>
          <w:tcPr>
            <w:tcW w:type="dxa" w:w="3000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3A3A3A"/>
                <w:sz w:val="18"/>
                <w:szCs w:val="18"/>
              </w:rPr>
              <w:t xml:space="preserve">Złożoność techniczna</w:t>
            </w:r>
          </w:p>
        </w:tc>
        <w:tc>
          <w:tcPr>
            <w:tcW w:type="dxa" w:w="6000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8"/>
                <w:szCs w:val="18"/>
              </w:rPr>
              <w:t xml:space="preserve">Wysoka — model predykcyjny wymaga danych treningowych (min. 200-300 zamkniętych procesów)</w:t>
            </w:r>
          </w:p>
        </w:tc>
      </w:tr>
      <w:tr>
        <w:tc>
          <w:tcPr>
            <w:tcW w:type="dxa" w:w="3000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CC7700"/>
                <w:sz w:val="18"/>
                <w:szCs w:val="18"/>
              </w:rPr>
              <w:t xml:space="preserve">WERDYKT</w:t>
            </w:r>
          </w:p>
        </w:tc>
        <w:tc>
          <w:tcPr>
            <w:tcW w:type="dxa" w:w="6000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CC7700"/>
                <w:sz w:val="18"/>
                <w:szCs w:val="18"/>
              </w:rPr>
              <w:t xml:space="preserve">FAZA 2 — Realistyczny po 6 miesiącach zbierania danych. Na start: uproszczony rule-based.</w:t>
            </w:r>
          </w:p>
        </w:tc>
      </w:tr>
    </w:tbl>
    <w:p>
      <w:pPr>
        <w:spacing w:after="0" w:before="0"/>
      </w:pPr>
    </w:p>
    <w:p>
      <w:pPr>
        <w:spacing w:after="160" w:before="280" w:line="280"/>
        <w:jc w:val="left"/>
      </w:pPr>
      <w:r>
        <w:rPr>
          <w:rFonts w:ascii="Calibri" w:cs="Calibri" w:eastAsia="Calibri" w:hAnsi="Calibri"/>
          <w:b/>
          <w:bCs/>
          <w:color w:val="3A3A3A"/>
          <w:sz w:val="24"/>
          <w:szCs w:val="24"/>
        </w:rPr>
        <w:t xml:space="preserve">F8: Margin Monitor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000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3A3A3A"/>
                <w:sz w:val="18"/>
                <w:szCs w:val="18"/>
              </w:rPr>
              <w:t xml:space="preserve">Gotowość danych</w:t>
            </w:r>
          </w:p>
        </w:tc>
        <w:tc>
          <w:tcPr>
            <w:tcW w:type="dxa" w:w="6000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CC7700"/>
                <w:sz w:val="18"/>
                <w:szCs w:val="18"/>
              </w:rPr>
              <w:t xml:space="preserve">40% — v1 ma stawki w kontraktach. Brak kosztu pozyskania i marży netto.</w:t>
            </w:r>
          </w:p>
        </w:tc>
      </w:tr>
      <w:tr>
        <w:tc>
          <w:tcPr>
            <w:tcW w:type="dxa" w:w="3000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3A3A3A"/>
                <w:sz w:val="18"/>
                <w:szCs w:val="18"/>
              </w:rPr>
              <w:t xml:space="preserve">Złożoność techniczna</w:t>
            </w:r>
          </w:p>
        </w:tc>
        <w:tc>
          <w:tcPr>
            <w:tcW w:type="dxa" w:w="6000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8"/>
                <w:szCs w:val="18"/>
              </w:rPr>
              <w:t xml:space="preserve">Niska-Średnia — kalkulacja marży per kontrakt + alerty</w:t>
            </w:r>
          </w:p>
        </w:tc>
      </w:tr>
      <w:tr>
        <w:tc>
          <w:tcPr>
            <w:tcW w:type="dxa" w:w="3000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3A3A3A"/>
                <w:sz w:val="18"/>
                <w:szCs w:val="18"/>
              </w:rPr>
              <w:t xml:space="preserve">Zależności</w:t>
            </w:r>
          </w:p>
        </w:tc>
        <w:tc>
          <w:tcPr>
            <w:tcW w:type="dxa" w:w="6000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8"/>
                <w:szCs w:val="18"/>
              </w:rPr>
              <w:t xml:space="preserve">Dane o kosztach B2B.net per konsultant (stawka zakupu vs sprzedaży)</w:t>
            </w:r>
          </w:p>
        </w:tc>
      </w:tr>
      <w:tr>
        <w:tc>
          <w:tcPr>
            <w:tcW w:type="dxa" w:w="3000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3A3A3A"/>
                <w:sz w:val="18"/>
                <w:szCs w:val="18"/>
              </w:rPr>
              <w:t xml:space="preserve">Szacowany czas</w:t>
            </w:r>
          </w:p>
        </w:tc>
        <w:tc>
          <w:tcPr>
            <w:tcW w:type="dxa" w:w="6000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8"/>
                <w:szCs w:val="18"/>
              </w:rPr>
              <w:t xml:space="preserve">4-6 tygodni</w:t>
            </w:r>
          </w:p>
        </w:tc>
      </w:tr>
      <w:tr>
        <w:tc>
          <w:tcPr>
            <w:tcW w:type="dxa" w:w="3000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8B22"/>
                <w:sz w:val="18"/>
                <w:szCs w:val="18"/>
              </w:rPr>
              <w:t xml:space="preserve">WERDYKT</w:t>
            </w:r>
          </w:p>
        </w:tc>
        <w:tc>
          <w:tcPr>
            <w:tcW w:type="dxa" w:w="6000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8B22"/>
                <w:sz w:val="18"/>
                <w:szCs w:val="18"/>
              </w:rPr>
              <w:t xml:space="preserve">REKOMENDOWANY DO WDR. — Wymaga danych o stawce zakupu. Jeśli są — szybki quick win.</w:t>
            </w:r>
          </w:p>
        </w:tc>
      </w:tr>
    </w:tbl>
    <w:p>
      <w:pPr>
        <w:spacing w:after="0" w:before="0"/>
      </w:pPr>
    </w:p>
    <w:p>
      <w:pPr>
        <w:spacing w:after="140" w:before="0" w:line="280"/>
        <w:jc w:val="left"/>
      </w:pPr>
      <w:r>
        <w:rPr>
          <w:rFonts w:ascii="Calibri" w:cs="Calibri" w:eastAsia="Calibri" w:hAnsi="Calibri"/>
          <w:b/>
          <w:bCs/>
          <w:i w:val="false"/>
          <w:iCs w:val="false"/>
          <w:color w:val="3A3A3A"/>
          <w:sz w:val="22"/>
          <w:szCs w:val="22"/>
        </w:rPr>
        <w:t xml:space="preserve">Kluczowe pytanie: Czy w obecnej bazie danych (lub Excelu) przechowujemy stawkę zakupu konsultanta obok stawki sprzedaży? Jeśli tak — Margin Monitor budujemy w 4 tygodnie.</w:t>
      </w:r>
    </w:p>
    <w:p>
      <w:pPr>
        <w:spacing w:after="0" w:before="0"/>
      </w:pPr>
    </w:p>
    <w:p>
      <w:pPr>
        <w:spacing w:after="160" w:before="280" w:line="280"/>
        <w:jc w:val="left"/>
      </w:pPr>
      <w:r>
        <w:rPr>
          <w:rFonts w:ascii="Calibri" w:cs="Calibri" w:eastAsia="Calibri" w:hAnsi="Calibri"/>
          <w:b/>
          <w:bCs/>
          <w:color w:val="3A3A3A"/>
          <w:sz w:val="24"/>
          <w:szCs w:val="24"/>
        </w:rPr>
        <w:t xml:space="preserve">F9: Contract Risk Predictor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000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3A3A3A"/>
                <w:sz w:val="18"/>
                <w:szCs w:val="18"/>
              </w:rPr>
              <w:t xml:space="preserve">Gotowość danych</w:t>
            </w:r>
          </w:p>
        </w:tc>
        <w:tc>
          <w:tcPr>
            <w:tcW w:type="dxa" w:w="6000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8B22"/>
                <w:sz w:val="18"/>
                <w:szCs w:val="18"/>
              </w:rPr>
              <w:t xml:space="preserve">70% — M8 + M4 + kontrakty: Health Score, Exit Risk, daty końca, historia</w:t>
            </w:r>
          </w:p>
        </w:tc>
      </w:tr>
      <w:tr>
        <w:tc>
          <w:tcPr>
            <w:tcW w:type="dxa" w:w="3000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3A3A3A"/>
                <w:sz w:val="18"/>
                <w:szCs w:val="18"/>
              </w:rPr>
              <w:t xml:space="preserve">Złożoność techniczna</w:t>
            </w:r>
          </w:p>
        </w:tc>
        <w:tc>
          <w:tcPr>
            <w:tcW w:type="dxa" w:w="6000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8"/>
                <w:szCs w:val="18"/>
              </w:rPr>
              <w:t xml:space="preserve">Niska — rozszerzenie istniejącego M8 o nowe widoki i alerty</w:t>
            </w:r>
          </w:p>
        </w:tc>
      </w:tr>
      <w:tr>
        <w:tc>
          <w:tcPr>
            <w:tcW w:type="dxa" w:w="3000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3A3A3A"/>
                <w:sz w:val="18"/>
                <w:szCs w:val="18"/>
              </w:rPr>
              <w:t xml:space="preserve">Szacowany czas</w:t>
            </w:r>
          </w:p>
        </w:tc>
        <w:tc>
          <w:tcPr>
            <w:tcW w:type="dxa" w:w="6000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8"/>
                <w:szCs w:val="18"/>
              </w:rPr>
              <w:t xml:space="preserve">3-4 tygodnie (refaktor M8)</w:t>
            </w:r>
          </w:p>
        </w:tc>
      </w:tr>
      <w:tr>
        <w:tc>
          <w:tcPr>
            <w:tcW w:type="dxa" w:w="3000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8B22"/>
                <w:sz w:val="18"/>
                <w:szCs w:val="18"/>
              </w:rPr>
              <w:t xml:space="preserve">WERDYKT</w:t>
            </w:r>
          </w:p>
        </w:tc>
        <w:tc>
          <w:tcPr>
            <w:tcW w:type="dxa" w:w="6000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8B22"/>
                <w:sz w:val="18"/>
                <w:szCs w:val="18"/>
              </w:rPr>
              <w:t xml:space="preserve">REKOMENDOWANY DO WDR. — Najszybszy quick win. Dane już są w systemie.</w:t>
            </w:r>
          </w:p>
        </w:tc>
      </w:tr>
    </w:tbl>
    <w:p>
      <w:pPr>
        <w:spacing w:after="0" w:before="0"/>
      </w:pPr>
    </w:p>
    <w:p>
      <w:pPr>
        <w:spacing w:after="160" w:before="280" w:line="280"/>
        <w:jc w:val="left"/>
      </w:pPr>
      <w:r>
        <w:rPr>
          <w:rFonts w:ascii="Calibri" w:cs="Calibri" w:eastAsia="Calibri" w:hAnsi="Calibri"/>
          <w:b/>
          <w:bCs/>
          <w:color w:val="3A3A3A"/>
          <w:sz w:val="24"/>
          <w:szCs w:val="24"/>
        </w:rPr>
        <w:t xml:space="preserve">F10: Cost of Churn Dashboard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000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3A3A3A"/>
                <w:sz w:val="18"/>
                <w:szCs w:val="18"/>
              </w:rPr>
              <w:t xml:space="preserve">Gotowość danych</w:t>
            </w:r>
          </w:p>
        </w:tc>
        <w:tc>
          <w:tcPr>
            <w:tcW w:type="dxa" w:w="6000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8B22"/>
                <w:sz w:val="18"/>
                <w:szCs w:val="18"/>
              </w:rPr>
              <w:t xml:space="preserve">65% — M11.6 ma utracone marże, M8.5 ma koszty odejść. Brak gap time.</w:t>
            </w:r>
          </w:p>
        </w:tc>
      </w:tr>
      <w:tr>
        <w:tc>
          <w:tcPr>
            <w:tcW w:type="dxa" w:w="3000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8B22"/>
                <w:sz w:val="18"/>
                <w:szCs w:val="18"/>
              </w:rPr>
              <w:t xml:space="preserve">WERDYKT</w:t>
            </w:r>
          </w:p>
        </w:tc>
        <w:tc>
          <w:tcPr>
            <w:tcW w:type="dxa" w:w="6000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228B22"/>
                <w:sz w:val="18"/>
                <w:szCs w:val="18"/>
              </w:rPr>
              <w:t xml:space="preserve">MOŻLIWY — Rozszerzenie M11. Dodanie gap time wymaga historii dat.</w:t>
            </w:r>
          </w:p>
        </w:tc>
      </w:tr>
    </w:tbl>
    <w:p>
      <w:pPr>
        <w:spacing w:after="0" w:before="0"/>
      </w:pPr>
    </w:p>
    <w:p>
      <w:pPr>
        <w:spacing w:after="160" w:before="280" w:line="280"/>
        <w:jc w:val="left"/>
      </w:pPr>
      <w:r>
        <w:rPr>
          <w:rFonts w:ascii="Calibri" w:cs="Calibri" w:eastAsia="Calibri" w:hAnsi="Calibri"/>
          <w:b/>
          <w:bCs/>
          <w:color w:val="3A3A3A"/>
          <w:sz w:val="24"/>
          <w:szCs w:val="24"/>
        </w:rPr>
        <w:t xml:space="preserve">F11: Body Leasing Control Tower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000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3A3A3A"/>
                <w:sz w:val="18"/>
                <w:szCs w:val="18"/>
              </w:rPr>
              <w:t xml:space="preserve">Gotowość danych</w:t>
            </w:r>
          </w:p>
        </w:tc>
        <w:tc>
          <w:tcPr>
            <w:tcW w:type="dxa" w:w="6000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CC0000"/>
                <w:sz w:val="18"/>
                <w:szCs w:val="18"/>
              </w:rPr>
              <w:t xml:space="preserve">10% — agreguje dane ze WSZYSTKICH modułów, w tym tych które nie istnieją</w:t>
            </w:r>
          </w:p>
        </w:tc>
      </w:tr>
      <w:tr>
        <w:tc>
          <w:tcPr>
            <w:tcW w:type="dxa" w:w="3000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CC7700"/>
                <w:sz w:val="18"/>
                <w:szCs w:val="18"/>
              </w:rPr>
              <w:t xml:space="preserve">WERDYKT</w:t>
            </w:r>
          </w:p>
        </w:tc>
        <w:tc>
          <w:tcPr>
            <w:tcW w:type="dxa" w:w="6000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CC7700"/>
                <w:sz w:val="18"/>
                <w:szCs w:val="18"/>
              </w:rPr>
              <w:t xml:space="preserve">WARUNKOWY — Budowa etapowa: najpierw moduły bazowe, potem Control Tower jako agregator.</w:t>
            </w:r>
          </w:p>
        </w:tc>
      </w:tr>
    </w:tbl>
    <w:p>
      <w:pPr>
        <w:spacing w:after="0" w:before="0"/>
      </w:pPr>
    </w:p>
    <w:p>
      <w:pPr>
        <w:spacing w:after="140" w:before="0" w:line="2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A3A3A"/>
          <w:sz w:val="22"/>
          <w:szCs w:val="22"/>
        </w:rPr>
        <w:t xml:space="preserve">Control Tower nie jest modułem do budowania — to warstwa prezentacji, która powstaje naturalnie, gdy moduły bazowe dostarczają dane. Budowanie Control Tower bez danych = pusty dashboard.</w:t>
      </w:r>
    </w:p>
    <w:p>
      <w:pPr>
        <w:spacing w:after="0" w:before="0"/>
      </w:pPr>
    </w:p>
    <w:p>
      <w:pPr>
        <w:spacing w:after="160" w:before="280" w:line="280"/>
        <w:jc w:val="left"/>
      </w:pPr>
      <w:r>
        <w:rPr>
          <w:rFonts w:ascii="Calibri" w:cs="Calibri" w:eastAsia="Calibri" w:hAnsi="Calibri"/>
          <w:b/>
          <w:bCs/>
          <w:color w:val="3A3A3A"/>
          <w:sz w:val="24"/>
          <w:szCs w:val="24"/>
        </w:rPr>
        <w:t xml:space="preserve">F12: Predictive Planning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3000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3A3A3A"/>
                <w:sz w:val="18"/>
                <w:szCs w:val="18"/>
              </w:rPr>
              <w:t xml:space="preserve">Gotowość danych</w:t>
            </w:r>
          </w:p>
        </w:tc>
        <w:tc>
          <w:tcPr>
            <w:tcW w:type="dxa" w:w="6000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CC0000"/>
                <w:sz w:val="18"/>
                <w:szCs w:val="18"/>
              </w:rPr>
              <w:t xml:space="preserve">0% — symulacje wymagają 6-12 mies. danych historycznych w nowych modułach</w:t>
            </w:r>
          </w:p>
        </w:tc>
      </w:tr>
      <w:tr>
        <w:tc>
          <w:tcPr>
            <w:tcW w:type="dxa" w:w="3000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CC0000"/>
                <w:sz w:val="18"/>
                <w:szCs w:val="18"/>
              </w:rPr>
              <w:t xml:space="preserve">WERDYKT</w:t>
            </w:r>
          </w:p>
        </w:tc>
        <w:tc>
          <w:tcPr>
            <w:tcW w:type="dxa" w:w="6000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CC0000"/>
                <w:sz w:val="18"/>
                <w:szCs w:val="18"/>
              </w:rPr>
              <w:t xml:space="preserve">FAZA 3 (Q1 2027) — Board-level narzędzie. Budowa po ustabilizowaniu danych.</w:t>
            </w:r>
          </w:p>
        </w:tc>
      </w:tr>
    </w:tbl>
    <w:p>
      <w:pPr>
        <w:spacing w:after="0" w:before="0"/>
      </w:pPr>
    </w:p>
    <w:p>
      <w:pPr>
        <w:spacing w:after="140" w:before="0" w:line="2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A3A3A"/>
          <w:sz w:val="22"/>
          <w:szCs w:val="22"/>
        </w:rPr>
        <w:t xml:space="preserve">To jest ${PQ}cherry on top${PQC}. Niezwykle wartościowe, ale tylko z danymi historycznymi. Bez nich symulacje będą fikcją.</w:t>
      </w:r>
    </w:p>
    <w:p>
      <w:pPr>
        <w:pageBreakBefore/>
      </w:pPr>
    </w:p>
    <w:p>
      <w:pPr>
        <w:spacing w:after="200" w:before="360" w:line="280"/>
        <w:jc w:val="left"/>
      </w:pPr>
      <w:r>
        <w:rPr>
          <w:rFonts w:ascii="Calibri" w:cs="Calibri" w:eastAsia="Calibri" w:hAnsi="Calibri"/>
          <w:b/>
          <w:bCs/>
          <w:color w:val="E73748"/>
          <w:sz w:val="26"/>
          <w:szCs w:val="26"/>
        </w:rPr>
        <w:t xml:space="preserve">4. REKOMENDOWANA KOLEJNOŚĆ WDROŻENIA</w:t>
      </w:r>
    </w:p>
    <w:p>
      <w:pPr>
        <w:spacing w:after="0" w:before="0"/>
      </w:pPr>
    </w:p>
    <w:p>
      <w:pPr>
        <w:spacing w:after="160" w:before="280" w:line="280"/>
        <w:jc w:val="left"/>
      </w:pPr>
      <w:r>
        <w:rPr>
          <w:rFonts w:ascii="Calibri" w:cs="Calibri" w:eastAsia="Calibri" w:hAnsi="Calibri"/>
          <w:b/>
          <w:bCs/>
          <w:color w:val="3A3A3A"/>
          <w:sz w:val="24"/>
          <w:szCs w:val="24"/>
        </w:rPr>
        <w:t xml:space="preserve">FAZA 1: Quick Wins (Q2 2026, 8-12 tygodni)</w:t>
      </w:r>
    </w:p>
    <w:p>
      <w:pPr>
        <w:spacing w:after="140" w:before="0" w:line="2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A3A3A"/>
          <w:sz w:val="22"/>
          <w:szCs w:val="22"/>
        </w:rPr>
        <w:t xml:space="preserve">Funkcje, które można wdrożyć TERAZ, bo dane istnieją lub wymagają jednorazowego importu.</w:t>
      </w:r>
    </w:p>
    <w:p>
      <w:pPr>
        <w:spacing w:after="0" w:before="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200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shd w:fill="E73748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Priorytet</w:t>
            </w:r>
          </w:p>
        </w:tc>
        <w:tc>
          <w:tcPr>
            <w:tcW w:type="dxa" w:w="2800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shd w:fill="E73748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Funkcja</w:t>
            </w:r>
          </w:p>
        </w:tc>
        <w:tc>
          <w:tcPr>
            <w:tcW w:type="dxa" w:w="1400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shd w:fill="E73748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Czas</w:t>
            </w:r>
          </w:p>
        </w:tc>
        <w:tc>
          <w:tcPr>
            <w:tcW w:type="dxa" w:w="1400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shd w:fill="E73748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ROI</w:t>
            </w:r>
          </w:p>
        </w:tc>
        <w:tc>
          <w:tcPr>
            <w:tcW w:type="dxa" w:w="2400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shd w:fill="E73748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Warunek</w:t>
            </w:r>
          </w:p>
        </w:tc>
      </w:tr>
      <w:tr>
        <w:tc>
          <w:tcPr>
            <w:tcW w:type="dxa" w:w="1200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28B22"/>
                <w:sz w:val="18"/>
                <w:szCs w:val="18"/>
              </w:rPr>
              <w:t xml:space="preserve">P1</w:t>
            </w:r>
          </w:p>
        </w:tc>
        <w:tc>
          <w:tcPr>
            <w:tcW w:type="dxa" w:w="2800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3A3A3A"/>
                <w:sz w:val="18"/>
                <w:szCs w:val="18"/>
              </w:rPr>
              <w:t xml:space="preserve">F9: Contract Risk Predictor</w:t>
            </w:r>
          </w:p>
        </w:tc>
        <w:tc>
          <w:tcPr>
            <w:tcW w:type="dxa" w:w="1400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8"/>
                <w:szCs w:val="18"/>
              </w:rPr>
              <w:t xml:space="preserve">3-4 tyg.</w:t>
            </w:r>
          </w:p>
        </w:tc>
        <w:tc>
          <w:tcPr>
            <w:tcW w:type="dxa" w:w="1400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28B22"/>
                <w:sz w:val="18"/>
                <w:szCs w:val="18"/>
              </w:rPr>
              <w:t xml:space="preserve">BARDZO WYSOKI</w:t>
            </w:r>
          </w:p>
        </w:tc>
        <w:tc>
          <w:tcPr>
            <w:tcW w:type="dxa" w:w="2400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8"/>
                <w:szCs w:val="18"/>
              </w:rPr>
              <w:t xml:space="preserve">Dane w v1 (M8+M4)</w:t>
            </w:r>
          </w:p>
        </w:tc>
      </w:tr>
      <w:tr>
        <w:tc>
          <w:tcPr>
            <w:tcW w:type="dxa" w:w="1200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28B22"/>
                <w:sz w:val="18"/>
                <w:szCs w:val="18"/>
              </w:rPr>
              <w:t xml:space="preserve">P2</w:t>
            </w:r>
          </w:p>
        </w:tc>
        <w:tc>
          <w:tcPr>
            <w:tcW w:type="dxa" w:w="2800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3A3A3A"/>
                <w:sz w:val="18"/>
                <w:szCs w:val="18"/>
              </w:rPr>
              <w:t xml:space="preserve">F8: Margin Monitor</w:t>
            </w:r>
          </w:p>
        </w:tc>
        <w:tc>
          <w:tcPr>
            <w:tcW w:type="dxa" w:w="1400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8"/>
                <w:szCs w:val="18"/>
              </w:rPr>
              <w:t xml:space="preserve">4-6 tyg.</w:t>
            </w:r>
          </w:p>
        </w:tc>
        <w:tc>
          <w:tcPr>
            <w:tcW w:type="dxa" w:w="1400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28B22"/>
                <w:sz w:val="18"/>
                <w:szCs w:val="18"/>
              </w:rPr>
              <w:t xml:space="preserve">BARDZO WYSOKI</w:t>
            </w:r>
          </w:p>
        </w:tc>
        <w:tc>
          <w:tcPr>
            <w:tcW w:type="dxa" w:w="2400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8"/>
                <w:szCs w:val="18"/>
              </w:rPr>
              <w:t xml:space="preserve">Import stawek zakupu</w:t>
            </w:r>
          </w:p>
        </w:tc>
      </w:tr>
      <w:tr>
        <w:tc>
          <w:tcPr>
            <w:tcW w:type="dxa" w:w="1200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28B22"/>
                <w:sz w:val="18"/>
                <w:szCs w:val="18"/>
              </w:rPr>
              <w:t xml:space="preserve">P3</w:t>
            </w:r>
          </w:p>
        </w:tc>
        <w:tc>
          <w:tcPr>
            <w:tcW w:type="dxa" w:w="2800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3A3A3A"/>
                <w:sz w:val="18"/>
                <w:szCs w:val="18"/>
              </w:rPr>
              <w:t xml:space="preserve">F10: Cost of Churn</w:t>
            </w:r>
          </w:p>
        </w:tc>
        <w:tc>
          <w:tcPr>
            <w:tcW w:type="dxa" w:w="1400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8"/>
                <w:szCs w:val="18"/>
              </w:rPr>
              <w:t xml:space="preserve">3-4 tyg.</w:t>
            </w:r>
          </w:p>
        </w:tc>
        <w:tc>
          <w:tcPr>
            <w:tcW w:type="dxa" w:w="1400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28B22"/>
                <w:sz w:val="18"/>
                <w:szCs w:val="18"/>
              </w:rPr>
              <w:t xml:space="preserve">WYSOKI</w:t>
            </w:r>
          </w:p>
        </w:tc>
        <w:tc>
          <w:tcPr>
            <w:tcW w:type="dxa" w:w="2400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8"/>
                <w:szCs w:val="18"/>
              </w:rPr>
              <w:t xml:space="preserve">Rozszerzenie M11</w:t>
            </w:r>
          </w:p>
        </w:tc>
      </w:tr>
      <w:tr>
        <w:tc>
          <w:tcPr>
            <w:tcW w:type="dxa" w:w="1200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C7700"/>
                <w:sz w:val="18"/>
                <w:szCs w:val="18"/>
              </w:rPr>
              <w:t xml:space="preserve">P4</w:t>
            </w:r>
          </w:p>
        </w:tc>
        <w:tc>
          <w:tcPr>
            <w:tcW w:type="dxa" w:w="2800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3A3A3A"/>
                <w:sz w:val="18"/>
                <w:szCs w:val="18"/>
              </w:rPr>
              <w:t xml:space="preserve">F6: Hit Ratio Engine</w:t>
            </w:r>
          </w:p>
        </w:tc>
        <w:tc>
          <w:tcPr>
            <w:tcW w:type="dxa" w:w="1400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8"/>
                <w:szCs w:val="18"/>
              </w:rPr>
              <w:t xml:space="preserve">6-8 tyg.</w:t>
            </w:r>
          </w:p>
        </w:tc>
        <w:tc>
          <w:tcPr>
            <w:tcW w:type="dxa" w:w="1400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28B22"/>
                <w:sz w:val="18"/>
                <w:szCs w:val="18"/>
              </w:rPr>
              <w:t xml:space="preserve">WYSOKI</w:t>
            </w:r>
          </w:p>
        </w:tc>
        <w:tc>
          <w:tcPr>
            <w:tcW w:type="dxa" w:w="2400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8"/>
                <w:szCs w:val="18"/>
              </w:rPr>
              <w:t xml:space="preserve">Import historii submisji</w:t>
            </w:r>
          </w:p>
        </w:tc>
      </w:tr>
    </w:tbl>
    <w:p>
      <w:pPr>
        <w:spacing w:after="0" w:before="0"/>
      </w:pPr>
    </w:p>
    <w:p>
      <w:pPr>
        <w:spacing w:after="160" w:before="280" w:line="280"/>
        <w:jc w:val="left"/>
      </w:pPr>
      <w:r>
        <w:rPr>
          <w:rFonts w:ascii="Calibri" w:cs="Calibri" w:eastAsia="Calibri" w:hAnsi="Calibri"/>
          <w:b/>
          <w:bCs/>
          <w:color w:val="3A3A3A"/>
          <w:sz w:val="24"/>
          <w:szCs w:val="24"/>
        </w:rPr>
        <w:t xml:space="preserve">FAZA 2: Rozszerzenie + ATS (Q3-Q4 2026)</w:t>
      </w:r>
    </w:p>
    <w:p>
      <w:pPr>
        <w:spacing w:after="140" w:before="0" w:line="2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A3A3A"/>
          <w:sz w:val="22"/>
          <w:szCs w:val="22"/>
        </w:rPr>
        <w:t xml:space="preserve">Wymaga decyzji strategicznej o ATS i budowy nowych modułów danych.</w:t>
      </w:r>
    </w:p>
    <w:p>
      <w:pPr>
        <w:spacing w:after="0" w:before="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200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shd w:fill="E73748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Priorytet</w:t>
            </w:r>
          </w:p>
        </w:tc>
        <w:tc>
          <w:tcPr>
            <w:tcW w:type="dxa" w:w="2800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shd w:fill="E73748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Funkcja</w:t>
            </w:r>
          </w:p>
        </w:tc>
        <w:tc>
          <w:tcPr>
            <w:tcW w:type="dxa" w:w="1400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shd w:fill="E73748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Czas</w:t>
            </w:r>
          </w:p>
        </w:tc>
        <w:tc>
          <w:tcPr>
            <w:tcW w:type="dxa" w:w="1400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shd w:fill="E73748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Bloker</w:t>
            </w:r>
          </w:p>
        </w:tc>
        <w:tc>
          <w:tcPr>
            <w:tcW w:type="dxa" w:w="2400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shd w:fill="E73748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Warunek</w:t>
            </w:r>
          </w:p>
        </w:tc>
      </w:tr>
      <w:tr>
        <w:tc>
          <w:tcPr>
            <w:tcW w:type="dxa" w:w="1200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3A3A3A"/>
                <w:sz w:val="18"/>
                <w:szCs w:val="18"/>
              </w:rPr>
              <w:t xml:space="preserve">P5</w:t>
            </w:r>
          </w:p>
        </w:tc>
        <w:tc>
          <w:tcPr>
            <w:tcW w:type="dxa" w:w="2800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8"/>
                <w:szCs w:val="18"/>
              </w:rPr>
              <w:t xml:space="preserve">F5: Interview Readiness</w:t>
            </w:r>
          </w:p>
        </w:tc>
        <w:tc>
          <w:tcPr>
            <w:tcW w:type="dxa" w:w="1400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8"/>
                <w:szCs w:val="18"/>
              </w:rPr>
              <w:t xml:space="preserve">4-6 tyg.</w:t>
            </w:r>
          </w:p>
        </w:tc>
        <w:tc>
          <w:tcPr>
            <w:tcW w:type="dxa" w:w="1400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8"/>
                <w:szCs w:val="18"/>
              </w:rPr>
              <w:t xml:space="preserve">Żaden</w:t>
            </w:r>
          </w:p>
        </w:tc>
        <w:tc>
          <w:tcPr>
            <w:tcW w:type="dxa" w:w="2400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8"/>
                <w:szCs w:val="18"/>
              </w:rPr>
              <w:t xml:space="preserve">Standalone — lekki moduł</w:t>
            </w:r>
          </w:p>
        </w:tc>
      </w:tr>
      <w:tr>
        <w:tc>
          <w:tcPr>
            <w:tcW w:type="dxa" w:w="1200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3A3A3A"/>
                <w:sz w:val="18"/>
                <w:szCs w:val="18"/>
              </w:rPr>
              <w:t xml:space="preserve">P6</w:t>
            </w:r>
          </w:p>
        </w:tc>
        <w:tc>
          <w:tcPr>
            <w:tcW w:type="dxa" w:w="2800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8"/>
                <w:szCs w:val="18"/>
              </w:rPr>
              <w:t xml:space="preserve">F7: Win Probability (basic)</w:t>
            </w:r>
          </w:p>
        </w:tc>
        <w:tc>
          <w:tcPr>
            <w:tcW w:type="dxa" w:w="1400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8"/>
                <w:szCs w:val="18"/>
              </w:rPr>
              <w:t xml:space="preserve">6-8 tyg.</w:t>
            </w:r>
          </w:p>
        </w:tc>
        <w:tc>
          <w:tcPr>
            <w:tcW w:type="dxa" w:w="1400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8"/>
                <w:szCs w:val="18"/>
              </w:rPr>
              <w:t xml:space="preserve">Dane treningowe</w:t>
            </w:r>
          </w:p>
        </w:tc>
        <w:tc>
          <w:tcPr>
            <w:tcW w:type="dxa" w:w="2400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8"/>
                <w:szCs w:val="18"/>
              </w:rPr>
              <w:t xml:space="preserve">Rule-based na start, ML później</w:t>
            </w:r>
          </w:p>
        </w:tc>
      </w:tr>
      <w:tr>
        <w:tc>
          <w:tcPr>
            <w:tcW w:type="dxa" w:w="1200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3A3A3A"/>
                <w:sz w:val="18"/>
                <w:szCs w:val="18"/>
              </w:rPr>
              <w:t xml:space="preserve">P7</w:t>
            </w:r>
          </w:p>
        </w:tc>
        <w:tc>
          <w:tcPr>
            <w:tcW w:type="dxa" w:w="2800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8"/>
                <w:szCs w:val="18"/>
              </w:rPr>
              <w:t xml:space="preserve">F1: Request Scoring</w:t>
            </w:r>
          </w:p>
        </w:tc>
        <w:tc>
          <w:tcPr>
            <w:tcW w:type="dxa" w:w="1400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8"/>
                <w:szCs w:val="18"/>
              </w:rPr>
              <w:t xml:space="preserve">8-12 tyg.</w:t>
            </w:r>
          </w:p>
        </w:tc>
        <w:tc>
          <w:tcPr>
            <w:tcW w:type="dxa" w:w="1400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CC0000"/>
                <w:sz w:val="18"/>
                <w:szCs w:val="18"/>
              </w:rPr>
              <w:t xml:space="preserve">ATS / Intake</w:t>
            </w:r>
          </w:p>
        </w:tc>
        <w:tc>
          <w:tcPr>
            <w:tcW w:type="dxa" w:w="2400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8"/>
                <w:szCs w:val="18"/>
              </w:rPr>
              <w:t xml:space="preserve">Po decyzji o ATS</w:t>
            </w:r>
          </w:p>
        </w:tc>
      </w:tr>
      <w:tr>
        <w:tc>
          <w:tcPr>
            <w:tcW w:type="dxa" w:w="1200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3A3A3A"/>
                <w:sz w:val="18"/>
                <w:szCs w:val="18"/>
              </w:rPr>
              <w:t xml:space="preserve">P8</w:t>
            </w:r>
          </w:p>
        </w:tc>
        <w:tc>
          <w:tcPr>
            <w:tcW w:type="dxa" w:w="2800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8"/>
                <w:szCs w:val="18"/>
              </w:rPr>
              <w:t xml:space="preserve">F3: Pipeline Health</w:t>
            </w:r>
          </w:p>
        </w:tc>
        <w:tc>
          <w:tcPr>
            <w:tcW w:type="dxa" w:w="1400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8"/>
                <w:szCs w:val="18"/>
              </w:rPr>
              <w:t xml:space="preserve">6-8 tyg.</w:t>
            </w:r>
          </w:p>
        </w:tc>
        <w:tc>
          <w:tcPr>
            <w:tcW w:type="dxa" w:w="1400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CC0000"/>
                <w:sz w:val="18"/>
                <w:szCs w:val="18"/>
              </w:rPr>
              <w:t xml:space="preserve">ATS / Intake</w:t>
            </w:r>
          </w:p>
        </w:tc>
        <w:tc>
          <w:tcPr>
            <w:tcW w:type="dxa" w:w="2400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8"/>
                <w:szCs w:val="18"/>
              </w:rPr>
              <w:t xml:space="preserve">Po decyzji o ATS</w:t>
            </w:r>
          </w:p>
        </w:tc>
      </w:tr>
    </w:tbl>
    <w:p>
      <w:pPr>
        <w:spacing w:after="0" w:before="0"/>
      </w:pPr>
    </w:p>
    <w:p>
      <w:pPr>
        <w:spacing w:after="160" w:before="280" w:line="280"/>
        <w:jc w:val="left"/>
      </w:pPr>
      <w:r>
        <w:rPr>
          <w:rFonts w:ascii="Calibri" w:cs="Calibri" w:eastAsia="Calibri" w:hAnsi="Calibri"/>
          <w:b/>
          <w:bCs/>
          <w:color w:val="3A3A3A"/>
          <w:sz w:val="24"/>
          <w:szCs w:val="24"/>
        </w:rPr>
        <w:t xml:space="preserve">FAZA 3: Control Tower + Predictive (Q1 2027+)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1200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shd w:fill="E73748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Priorytet</w:t>
            </w:r>
          </w:p>
        </w:tc>
        <w:tc>
          <w:tcPr>
            <w:tcW w:type="dxa" w:w="2800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shd w:fill="E73748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Funkcja</w:t>
            </w:r>
          </w:p>
        </w:tc>
        <w:tc>
          <w:tcPr>
            <w:tcW w:type="dxa" w:w="5200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shd w:fill="E73748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Warunek startu</w:t>
            </w:r>
          </w:p>
        </w:tc>
      </w:tr>
      <w:tr>
        <w:tc>
          <w:tcPr>
            <w:tcW w:type="dxa" w:w="1200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8"/>
                <w:szCs w:val="18"/>
              </w:rPr>
              <w:t xml:space="preserve">P9</w:t>
            </w:r>
          </w:p>
        </w:tc>
        <w:tc>
          <w:tcPr>
            <w:tcW w:type="dxa" w:w="2800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3A3A3A"/>
                <w:sz w:val="18"/>
                <w:szCs w:val="18"/>
              </w:rPr>
              <w:t xml:space="preserve">F11: Control Tower</w:t>
            </w:r>
          </w:p>
        </w:tc>
        <w:tc>
          <w:tcPr>
            <w:tcW w:type="dxa" w:w="5200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8"/>
                <w:szCs w:val="18"/>
              </w:rPr>
              <w:t xml:space="preserve">Min. 4 moduły bazowe dostarczają dane real-time</w:t>
            </w:r>
          </w:p>
        </w:tc>
      </w:tr>
      <w:tr>
        <w:tc>
          <w:tcPr>
            <w:tcW w:type="dxa" w:w="1200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8"/>
                <w:szCs w:val="18"/>
              </w:rPr>
              <w:t xml:space="preserve">P10</w:t>
            </w:r>
          </w:p>
        </w:tc>
        <w:tc>
          <w:tcPr>
            <w:tcW w:type="dxa" w:w="2800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8"/>
                <w:szCs w:val="18"/>
              </w:rPr>
              <w:t xml:space="preserve">F2: Sourcing KPI</w:t>
            </w:r>
          </w:p>
        </w:tc>
        <w:tc>
          <w:tcPr>
            <w:tcW w:type="dxa" w:w="5200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8"/>
                <w:szCs w:val="18"/>
              </w:rPr>
              <w:t xml:space="preserve">ATS z logowaniem aktywności</w:t>
            </w:r>
          </w:p>
        </w:tc>
      </w:tr>
      <w:tr>
        <w:tc>
          <w:tcPr>
            <w:tcW w:type="dxa" w:w="1200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8"/>
                <w:szCs w:val="18"/>
              </w:rPr>
              <w:t xml:space="preserve">P11</w:t>
            </w:r>
          </w:p>
        </w:tc>
        <w:tc>
          <w:tcPr>
            <w:tcW w:type="dxa" w:w="2800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8"/>
                <w:szCs w:val="18"/>
              </w:rPr>
              <w:t xml:space="preserve">F4: CV Quality Score</w:t>
            </w:r>
          </w:p>
        </w:tc>
        <w:tc>
          <w:tcPr>
            <w:tcW w:type="dxa" w:w="5200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8"/>
                <w:szCs w:val="18"/>
              </w:rPr>
              <w:t xml:space="preserve">Storage CV + parser (NLP/AI)</w:t>
            </w:r>
          </w:p>
        </w:tc>
      </w:tr>
      <w:tr>
        <w:tc>
          <w:tcPr>
            <w:tcW w:type="dxa" w:w="1200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8"/>
                <w:szCs w:val="18"/>
              </w:rPr>
              <w:t xml:space="preserve">P12</w:t>
            </w:r>
          </w:p>
        </w:tc>
        <w:tc>
          <w:tcPr>
            <w:tcW w:type="dxa" w:w="2800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8"/>
                <w:szCs w:val="18"/>
              </w:rPr>
              <w:t xml:space="preserve">F12: Predictive Planning</w:t>
            </w:r>
          </w:p>
        </w:tc>
        <w:tc>
          <w:tcPr>
            <w:tcW w:type="dxa" w:w="5200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8"/>
                <w:szCs w:val="18"/>
              </w:rPr>
              <w:t xml:space="preserve">6-12 miesięcy danych historycznych</w:t>
            </w:r>
          </w:p>
        </w:tc>
      </w:tr>
    </w:tbl>
    <w:p>
      <w:pPr>
        <w:pageBreakBefore/>
      </w:pPr>
    </w:p>
    <w:p>
      <w:pPr>
        <w:spacing w:after="200" w:before="360" w:line="280"/>
        <w:jc w:val="left"/>
      </w:pPr>
      <w:r>
        <w:rPr>
          <w:rFonts w:ascii="Calibri" w:cs="Calibri" w:eastAsia="Calibri" w:hAnsi="Calibri"/>
          <w:b/>
          <w:bCs/>
          <w:color w:val="E73748"/>
          <w:sz w:val="26"/>
          <w:szCs w:val="26"/>
        </w:rPr>
        <w:t xml:space="preserve">5. DECYZJE STRATEGICZNE DO PODJĘCIA</w:t>
      </w:r>
    </w:p>
    <w:p>
      <w:pPr>
        <w:spacing w:after="0" w:before="0"/>
      </w:pPr>
    </w:p>
    <w:p>
      <w:pPr>
        <w:spacing w:after="140" w:before="0" w:line="2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A3A3A"/>
          <w:sz w:val="22"/>
          <w:szCs w:val="22"/>
        </w:rPr>
        <w:t xml:space="preserve">Przed rozpoczęciem prac nad v2, Zarząd musi podjąć 4 decyzje:</w:t>
      </w:r>
    </w:p>
    <w:p>
      <w:pPr>
        <w:spacing w:after="0" w:before="0"/>
      </w:pPr>
    </w:p>
    <w:p>
      <w:pPr>
        <w:spacing w:after="160" w:before="280" w:line="280"/>
        <w:jc w:val="left"/>
      </w:pPr>
      <w:r>
        <w:rPr>
          <w:rFonts w:ascii="Calibri" w:cs="Calibri" w:eastAsia="Calibri" w:hAnsi="Calibri"/>
          <w:b/>
          <w:bCs/>
          <w:color w:val="3A3A3A"/>
          <w:sz w:val="24"/>
          <w:szCs w:val="24"/>
        </w:rPr>
        <w:t xml:space="preserve">Decyzja 1: ATS — Build vs Buy vs Integrate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1800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shd w:fill="E73748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Opcja</w:t>
            </w:r>
          </w:p>
        </w:tc>
        <w:tc>
          <w:tcPr>
            <w:tcW w:type="dxa" w:w="1400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shd w:fill="E73748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Czas</w:t>
            </w:r>
          </w:p>
        </w:tc>
        <w:tc>
          <w:tcPr>
            <w:tcW w:type="dxa" w:w="1400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shd w:fill="E73748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Koszt</w:t>
            </w:r>
          </w:p>
        </w:tc>
        <w:tc>
          <w:tcPr>
            <w:tcW w:type="dxa" w:w="2300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shd w:fill="E73748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Zalety</w:t>
            </w:r>
          </w:p>
        </w:tc>
        <w:tc>
          <w:tcPr>
            <w:tcW w:type="dxa" w:w="2300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shd w:fill="E73748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Wady</w:t>
            </w:r>
          </w:p>
        </w:tc>
      </w:tr>
      <w:tr>
        <w:tc>
          <w:tcPr>
            <w:tcW w:type="dxa" w:w="1800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3A3A3A"/>
                <w:sz w:val="18"/>
                <w:szCs w:val="18"/>
              </w:rPr>
              <w:t xml:space="preserve">Build (wewnątrz ComPass)</w:t>
            </w:r>
          </w:p>
        </w:tc>
        <w:tc>
          <w:tcPr>
            <w:tcW w:type="dxa" w:w="1400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8"/>
                <w:szCs w:val="18"/>
              </w:rPr>
              <w:t xml:space="preserve">3-4 mies.</w:t>
            </w:r>
          </w:p>
        </w:tc>
        <w:tc>
          <w:tcPr>
            <w:tcW w:type="dxa" w:w="1400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8"/>
                <w:szCs w:val="18"/>
              </w:rPr>
              <w:t xml:space="preserve">Wysoki</w:t>
            </w:r>
          </w:p>
        </w:tc>
        <w:tc>
          <w:tcPr>
            <w:tcW w:type="dxa" w:w="2300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8"/>
                <w:szCs w:val="18"/>
              </w:rPr>
              <w:t xml:space="preserve">Pełna kontrola, native UX</w:t>
            </w:r>
          </w:p>
        </w:tc>
        <w:tc>
          <w:tcPr>
            <w:tcW w:type="dxa" w:w="2300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8"/>
                <w:szCs w:val="18"/>
              </w:rPr>
              <w:t xml:space="preserve">Czas, ryzyko, utrzymanie</w:t>
            </w:r>
          </w:p>
        </w:tc>
      </w:tr>
      <w:tr>
        <w:tc>
          <w:tcPr>
            <w:tcW w:type="dxa" w:w="1800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3A3A3A"/>
                <w:sz w:val="18"/>
                <w:szCs w:val="18"/>
              </w:rPr>
              <w:t xml:space="preserve">Buy (np. Bullhorn)</w:t>
            </w:r>
          </w:p>
        </w:tc>
        <w:tc>
          <w:tcPr>
            <w:tcW w:type="dxa" w:w="1400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8"/>
                <w:szCs w:val="18"/>
              </w:rPr>
              <w:t xml:space="preserve">1-2 mies.</w:t>
            </w:r>
          </w:p>
        </w:tc>
        <w:tc>
          <w:tcPr>
            <w:tcW w:type="dxa" w:w="1400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8"/>
                <w:szCs w:val="18"/>
              </w:rPr>
              <w:t xml:space="preserve">Licencja/mies.</w:t>
            </w:r>
          </w:p>
        </w:tc>
        <w:tc>
          <w:tcPr>
            <w:tcW w:type="dxa" w:w="2300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8"/>
                <w:szCs w:val="18"/>
              </w:rPr>
              <w:t xml:space="preserve">Gotowy produkt, szybko</w:t>
            </w:r>
          </w:p>
        </w:tc>
        <w:tc>
          <w:tcPr>
            <w:tcW w:type="dxa" w:w="2300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8"/>
                <w:szCs w:val="18"/>
              </w:rPr>
              <w:t xml:space="preserve">Koszty stałe, ograniczona customizacja</w:t>
            </w:r>
          </w:p>
        </w:tc>
      </w:tr>
      <w:tr>
        <w:tc>
          <w:tcPr>
            <w:tcW w:type="dxa" w:w="1800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3A3A3A"/>
                <w:sz w:val="18"/>
                <w:szCs w:val="18"/>
              </w:rPr>
              <w:t xml:space="preserve">Integrate (API do istniejącego)</w:t>
            </w:r>
          </w:p>
        </w:tc>
        <w:tc>
          <w:tcPr>
            <w:tcW w:type="dxa" w:w="1400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8"/>
                <w:szCs w:val="18"/>
              </w:rPr>
              <w:t xml:space="preserve">4-8 tyg.</w:t>
            </w:r>
          </w:p>
        </w:tc>
        <w:tc>
          <w:tcPr>
            <w:tcW w:type="dxa" w:w="1400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8"/>
                <w:szCs w:val="18"/>
              </w:rPr>
              <w:t xml:space="preserve">Niski</w:t>
            </w:r>
          </w:p>
        </w:tc>
        <w:tc>
          <w:tcPr>
            <w:tcW w:type="dxa" w:w="2300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8"/>
                <w:szCs w:val="18"/>
              </w:rPr>
              <w:t xml:space="preserve">Szybko, bez zmiany narzędzi</w:t>
            </w:r>
          </w:p>
        </w:tc>
        <w:tc>
          <w:tcPr>
            <w:tcW w:type="dxa" w:w="2300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8"/>
                <w:szCs w:val="18"/>
              </w:rPr>
              <w:t xml:space="preserve">Zależność od API dostawcy</w:t>
            </w:r>
          </w:p>
        </w:tc>
      </w:tr>
    </w:tbl>
    <w:p>
      <w:pPr>
        <w:spacing w:after="0" w:before="0"/>
      </w:pPr>
    </w:p>
    <w:p>
      <w:pPr>
        <w:spacing w:after="160" w:before="280" w:line="280"/>
        <w:jc w:val="left"/>
      </w:pPr>
      <w:r>
        <w:rPr>
          <w:rFonts w:ascii="Calibri" w:cs="Calibri" w:eastAsia="Calibri" w:hAnsi="Calibri"/>
          <w:b/>
          <w:bCs/>
          <w:color w:val="3A3A3A"/>
          <w:sz w:val="24"/>
          <w:szCs w:val="24"/>
        </w:rPr>
        <w:t xml:space="preserve">Decyzja 2: Dane o marży — skąd?</w:t>
      </w:r>
    </w:p>
    <w:p>
      <w:pPr>
        <w:spacing w:after="140" w:before="0" w:line="2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A3A3A"/>
          <w:sz w:val="22"/>
          <w:szCs w:val="22"/>
        </w:rPr>
        <w:t xml:space="preserve">Margin Monitor wymaga stawki zakupu (koszt B2B.net) obok stawki sprzedaży (cena dla klienta). Czy te dane są dostępne? W jakim formacie? Excel, ERP, system księgowy?</w:t>
      </w:r>
    </w:p>
    <w:p>
      <w:pPr>
        <w:spacing w:after="0" w:before="0"/>
      </w:pPr>
    </w:p>
    <w:p>
      <w:pPr>
        <w:spacing w:after="160" w:before="280" w:line="280"/>
        <w:jc w:val="left"/>
      </w:pPr>
      <w:r>
        <w:rPr>
          <w:rFonts w:ascii="Calibri" w:cs="Calibri" w:eastAsia="Calibri" w:hAnsi="Calibri"/>
          <w:b/>
          <w:bCs/>
          <w:color w:val="3A3A3A"/>
          <w:sz w:val="24"/>
          <w:szCs w:val="24"/>
        </w:rPr>
        <w:t xml:space="preserve">Decyzja 3: Dane historyczne — import</w:t>
      </w:r>
    </w:p>
    <w:p>
      <w:pPr>
        <w:spacing w:after="140" w:before="0" w:line="280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A3A3A"/>
          <w:sz w:val="22"/>
          <w:szCs w:val="22"/>
        </w:rPr>
        <w:t xml:space="preserve">Hit Ratio Engine wymaga historii: ile CV wysłano, ile interview odbyło się, ile placementów zamknięto — per klient, per DL, per technologia. Czy te dane istnieją choćby w Excelu?</w:t>
      </w:r>
    </w:p>
    <w:p>
      <w:pPr>
        <w:spacing w:after="0" w:before="0"/>
      </w:pPr>
    </w:p>
    <w:p>
      <w:pPr>
        <w:spacing w:after="160" w:before="280" w:line="280"/>
        <w:jc w:val="left"/>
      </w:pPr>
      <w:r>
        <w:rPr>
          <w:rFonts w:ascii="Calibri" w:cs="Calibri" w:eastAsia="Calibri" w:hAnsi="Calibri"/>
          <w:b/>
          <w:bCs/>
          <w:color w:val="3A3A3A"/>
          <w:sz w:val="24"/>
          <w:szCs w:val="24"/>
        </w:rPr>
        <w:t xml:space="preserve">Decyzja 4: Scope v2 — agresywny vs realistyczny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2300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shd w:fill="E73748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Scenariusz</w:t>
            </w:r>
          </w:p>
        </w:tc>
        <w:tc>
          <w:tcPr>
            <w:tcW w:type="dxa" w:w="3450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shd w:fill="E73748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Scope</w:t>
            </w:r>
          </w:p>
        </w:tc>
        <w:tc>
          <w:tcPr>
            <w:tcW w:type="dxa" w:w="3450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shd w:fill="E73748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Timeline</w:t>
            </w:r>
          </w:p>
        </w:tc>
      </w:tr>
      <w:tr>
        <w:tc>
          <w:tcPr>
            <w:tcW w:type="dxa" w:w="2300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3A3A3A"/>
                <w:sz w:val="18"/>
                <w:szCs w:val="18"/>
              </w:rPr>
              <w:t xml:space="preserve">Konserwatywny</w:t>
            </w:r>
          </w:p>
        </w:tc>
        <w:tc>
          <w:tcPr>
            <w:tcW w:type="dxa" w:w="3450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8"/>
                <w:szCs w:val="18"/>
              </w:rPr>
              <w:t xml:space="preserve">F8 + F9 + F10 (3 quick wins)</w:t>
            </w:r>
          </w:p>
        </w:tc>
        <w:tc>
          <w:tcPr>
            <w:tcW w:type="dxa" w:w="3450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8"/>
                <w:szCs w:val="18"/>
              </w:rPr>
              <w:t xml:space="preserve">Q2 2026 — 12 tygodni, bez ryzyka</w:t>
            </w:r>
          </w:p>
        </w:tc>
      </w:tr>
      <w:tr>
        <w:tc>
          <w:tcPr>
            <w:tcW w:type="dxa" w:w="2300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3A3A3A"/>
                <w:sz w:val="18"/>
                <w:szCs w:val="18"/>
              </w:rPr>
              <w:t xml:space="preserve">Realistyczny</w:t>
            </w:r>
          </w:p>
        </w:tc>
        <w:tc>
          <w:tcPr>
            <w:tcW w:type="dxa" w:w="3450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8"/>
                <w:szCs w:val="18"/>
              </w:rPr>
              <w:t xml:space="preserve">F6 + F8 + F9 + F10 + F5 (5 funkcji)</w:t>
            </w:r>
          </w:p>
        </w:tc>
        <w:tc>
          <w:tcPr>
            <w:tcW w:type="dxa" w:w="3450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8"/>
                <w:szCs w:val="18"/>
              </w:rPr>
              <w:t xml:space="preserve">Q2-Q3 2026 — 20 tygodni, wymaga importu danych</w:t>
            </w:r>
          </w:p>
        </w:tc>
      </w:tr>
      <w:tr>
        <w:tc>
          <w:tcPr>
            <w:tcW w:type="dxa" w:w="2300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3A3A3A"/>
                <w:sz w:val="18"/>
                <w:szCs w:val="18"/>
              </w:rPr>
              <w:t xml:space="preserve">Agresywny</w:t>
            </w:r>
          </w:p>
        </w:tc>
        <w:tc>
          <w:tcPr>
            <w:tcW w:type="dxa" w:w="3450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8"/>
                <w:szCs w:val="18"/>
              </w:rPr>
              <w:t xml:space="preserve">Wszystkie 12 funkcji + ATS</w:t>
            </w:r>
          </w:p>
        </w:tc>
        <w:tc>
          <w:tcPr>
            <w:tcW w:type="dxa" w:w="3450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8"/>
                <w:szCs w:val="18"/>
              </w:rPr>
              <w:t xml:space="preserve">Q2 2026 — Q1 2027, wymaga decyzji o ATS i zespołu 3-4 developerów</w:t>
            </w:r>
          </w:p>
        </w:tc>
      </w:tr>
    </w:tbl>
    <w:p>
      <w:pPr>
        <w:pageBreakBefore/>
      </w:pPr>
    </w:p>
    <w:p>
      <w:pPr>
        <w:spacing w:after="200" w:before="360" w:line="280"/>
        <w:jc w:val="left"/>
      </w:pPr>
      <w:r>
        <w:rPr>
          <w:rFonts w:ascii="Calibri" w:cs="Calibri" w:eastAsia="Calibri" w:hAnsi="Calibri"/>
          <w:b/>
          <w:bCs/>
          <w:color w:val="E73748"/>
          <w:sz w:val="26"/>
          <w:szCs w:val="26"/>
        </w:rPr>
        <w:t xml:space="preserve">6. RYZYKA I ZAGROŻENIA</w:t>
      </w:r>
    </w:p>
    <w:p>
      <w:pPr>
        <w:spacing w:after="0" w:before="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3000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shd w:fill="E73748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Ryzyko</w:t>
            </w:r>
          </w:p>
        </w:tc>
        <w:tc>
          <w:tcPr>
            <w:tcW w:type="dxa" w:w="1200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shd w:fill="E73748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Prawdop.</w:t>
            </w:r>
          </w:p>
        </w:tc>
        <w:tc>
          <w:tcPr>
            <w:tcW w:type="dxa" w:w="1200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shd w:fill="E73748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Impact</w:t>
            </w:r>
          </w:p>
        </w:tc>
        <w:tc>
          <w:tcPr>
            <w:tcW w:type="dxa" w:w="3800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shd w:fill="E73748" w:val="clear"/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Mitygacja</w:t>
            </w:r>
          </w:p>
        </w:tc>
      </w:tr>
      <w:tr>
        <w:tc>
          <w:tcPr>
            <w:tcW w:type="dxa" w:w="3000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3A3A3A"/>
                <w:sz w:val="18"/>
                <w:szCs w:val="18"/>
              </w:rPr>
              <w:t xml:space="preserve">Brak danych historycznych do importu</w:t>
            </w:r>
          </w:p>
        </w:tc>
        <w:tc>
          <w:tcPr>
            <w:tcW w:type="dxa" w:w="1200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CC0000"/>
                <w:sz w:val="18"/>
                <w:szCs w:val="18"/>
              </w:rPr>
              <w:t xml:space="preserve">WYSOKIE</w:t>
            </w:r>
          </w:p>
        </w:tc>
        <w:tc>
          <w:tcPr>
            <w:tcW w:type="dxa" w:w="1200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CC0000"/>
                <w:sz w:val="18"/>
                <w:szCs w:val="18"/>
              </w:rPr>
              <w:t xml:space="preserve">KRYTYCZNY</w:t>
            </w:r>
          </w:p>
        </w:tc>
        <w:tc>
          <w:tcPr>
            <w:tcW w:type="dxa" w:w="3800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8"/>
                <w:szCs w:val="18"/>
              </w:rPr>
              <w:t xml:space="preserve">Audyt danych PRZED startem prac. Priorytet: co mamy, czego nie mamy.</w:t>
            </w:r>
          </w:p>
        </w:tc>
      </w:tr>
      <w:tr>
        <w:tc>
          <w:tcPr>
            <w:tcW w:type="dxa" w:w="3000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3A3A3A"/>
                <w:sz w:val="18"/>
                <w:szCs w:val="18"/>
              </w:rPr>
              <w:t xml:space="preserve">Scope creep — próba budowy wszystkiego na raz</w:t>
            </w:r>
          </w:p>
        </w:tc>
        <w:tc>
          <w:tcPr>
            <w:tcW w:type="dxa" w:w="1200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CC0000"/>
                <w:sz w:val="18"/>
                <w:szCs w:val="18"/>
              </w:rPr>
              <w:t xml:space="preserve">WYSOKIE</w:t>
            </w:r>
          </w:p>
        </w:tc>
        <w:tc>
          <w:tcPr>
            <w:tcW w:type="dxa" w:w="1200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CC7700"/>
                <w:sz w:val="18"/>
                <w:szCs w:val="18"/>
              </w:rPr>
              <w:t xml:space="preserve">WYSOKI</w:t>
            </w:r>
          </w:p>
        </w:tc>
        <w:tc>
          <w:tcPr>
            <w:tcW w:type="dxa" w:w="3800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8"/>
                <w:szCs w:val="18"/>
              </w:rPr>
              <w:t xml:space="preserve">Twarde trzymanie się faz. Faza 1 MUSI być zamknięta przed startem Fazy 2.</w:t>
            </w:r>
          </w:p>
        </w:tc>
      </w:tr>
      <w:tr>
        <w:tc>
          <w:tcPr>
            <w:tcW w:type="dxa" w:w="3000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3A3A3A"/>
                <w:sz w:val="18"/>
                <w:szCs w:val="18"/>
              </w:rPr>
              <w:t xml:space="preserve">User adoption — Centrala nie używa nowych modułów</w:t>
            </w:r>
          </w:p>
        </w:tc>
        <w:tc>
          <w:tcPr>
            <w:tcW w:type="dxa" w:w="1200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CC7700"/>
                <w:sz w:val="18"/>
                <w:szCs w:val="18"/>
              </w:rPr>
              <w:t xml:space="preserve">ŚREDNIE</w:t>
            </w:r>
          </w:p>
        </w:tc>
        <w:tc>
          <w:tcPr>
            <w:tcW w:type="dxa" w:w="1200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CC7700"/>
                <w:sz w:val="18"/>
                <w:szCs w:val="18"/>
              </w:rPr>
              <w:t xml:space="preserve">WYSOKI</w:t>
            </w:r>
          </w:p>
        </w:tc>
        <w:tc>
          <w:tcPr>
            <w:tcW w:type="dxa" w:w="3800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8"/>
                <w:szCs w:val="18"/>
              </w:rPr>
              <w:t xml:space="preserve">Wdrożenie z championem z Centrali. Feedback loop co 2 tygodnie.</w:t>
            </w:r>
          </w:p>
        </w:tc>
      </w:tr>
      <w:tr>
        <w:tc>
          <w:tcPr>
            <w:tcW w:type="dxa" w:w="3000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3A3A3A"/>
                <w:sz w:val="18"/>
                <w:szCs w:val="18"/>
              </w:rPr>
              <w:t xml:space="preserve">Jakość danych — brudne dane psują dashboardy</w:t>
            </w:r>
          </w:p>
        </w:tc>
        <w:tc>
          <w:tcPr>
            <w:tcW w:type="dxa" w:w="1200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CC0000"/>
                <w:sz w:val="18"/>
                <w:szCs w:val="18"/>
              </w:rPr>
              <w:t xml:space="preserve">WYSOKIE</w:t>
            </w:r>
          </w:p>
        </w:tc>
        <w:tc>
          <w:tcPr>
            <w:tcW w:type="dxa" w:w="1200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CC7700"/>
                <w:sz w:val="18"/>
                <w:szCs w:val="18"/>
              </w:rPr>
              <w:t xml:space="preserve">WYSOKI</w:t>
            </w:r>
          </w:p>
        </w:tc>
        <w:tc>
          <w:tcPr>
            <w:tcW w:type="dxa" w:w="3800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8"/>
                <w:szCs w:val="18"/>
              </w:rPr>
              <w:t xml:space="preserve">Walidacja + data cleansing przed importem. Etap 0: audyt jakości danych.</w:t>
            </w:r>
          </w:p>
        </w:tc>
      </w:tr>
      <w:tr>
        <w:tc>
          <w:tcPr>
            <w:tcW w:type="dxa" w:w="3000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/>
                <w:bCs/>
                <w:color w:val="3A3A3A"/>
                <w:sz w:val="18"/>
                <w:szCs w:val="18"/>
              </w:rPr>
              <w:t xml:space="preserve">Capacity dev team — za mało ludzi</w:t>
            </w:r>
          </w:p>
        </w:tc>
        <w:tc>
          <w:tcPr>
            <w:tcW w:type="dxa" w:w="1200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CC7700"/>
                <w:sz w:val="18"/>
                <w:szCs w:val="18"/>
              </w:rPr>
              <w:t xml:space="preserve">ŚREDNIE</w:t>
            </w:r>
          </w:p>
        </w:tc>
        <w:tc>
          <w:tcPr>
            <w:tcW w:type="dxa" w:w="1200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vAlign w:val="center"/>
          </w:tcPr>
          <w:p>
            <w:pPr>
              <w:spacing w:after="40" w:before="4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CC7700"/>
                <w:sz w:val="18"/>
                <w:szCs w:val="18"/>
              </w:rPr>
              <w:t xml:space="preserve">WYSOKI</w:t>
            </w:r>
          </w:p>
        </w:tc>
        <w:tc>
          <w:tcPr>
            <w:tcW w:type="dxa" w:w="3800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vAlign w:val="center"/>
          </w:tcPr>
          <w:p>
            <w:pPr>
              <w:spacing w:after="40" w:before="4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3A3A3A"/>
                <w:sz w:val="18"/>
                <w:szCs w:val="18"/>
              </w:rPr>
              <w:t xml:space="preserve">Priorytetyzacja. Faza 1 = 1 developer, 12 tygodni. Faza 2+ wymaga skalowania.</w:t>
            </w:r>
          </w:p>
        </w:tc>
      </w:tr>
    </w:tbl>
    <w:p>
      <w:pPr>
        <w:pageBreakBefore/>
      </w:pPr>
    </w:p>
    <w:p>
      <w:pPr>
        <w:spacing w:after="200" w:before="360" w:line="280"/>
        <w:jc w:val="left"/>
      </w:pPr>
      <w:r>
        <w:rPr>
          <w:rFonts w:ascii="Calibri" w:cs="Calibri" w:eastAsia="Calibri" w:hAnsi="Calibri"/>
          <w:b/>
          <w:bCs/>
          <w:color w:val="E73748"/>
          <w:sz w:val="26"/>
          <w:szCs w:val="26"/>
        </w:rPr>
        <w:t xml:space="preserve">7. REKOMENDACJE ZMIAN W PLANIE</w:t>
      </w:r>
    </w:p>
    <w:p>
      <w:pPr>
        <w:spacing w:after="0" w:before="0"/>
      </w:pPr>
    </w:p>
    <w:p>
      <w:pPr>
        <w:spacing w:after="160" w:before="280" w:line="280"/>
        <w:jc w:val="left"/>
      </w:pPr>
      <w:r>
        <w:rPr>
          <w:rFonts w:ascii="Calibri" w:cs="Calibri" w:eastAsia="Calibri" w:hAnsi="Calibri"/>
          <w:b/>
          <w:bCs/>
          <w:color w:val="3A3A3A"/>
          <w:sz w:val="24"/>
          <w:szCs w:val="24"/>
        </w:rPr>
        <w:t xml:space="preserve">7.1. Co dodać do planu (brakuje)</w:t>
      </w:r>
    </w:p>
    <w:p>
      <w:pPr>
        <w:pStyle w:val="ListParagraph"/>
        <w:numPr>
          <w:ilvl w:val="0"/>
          <w:numId w:val="2"/>
        </w:numPr>
        <w:spacing w:after="40" w:before="40" w:line="280"/>
        <w:jc w:val="left"/>
      </w:pPr>
      <w:r>
        <w:rPr>
          <w:rFonts w:ascii="Calibri" w:cs="Calibri" w:eastAsia="Calibri" w:hAnsi="Calibri"/>
          <w:b w:val="false"/>
          <w:bCs w:val="false"/>
          <w:color w:val="3A3A3A"/>
          <w:sz w:val="22"/>
          <w:szCs w:val="22"/>
        </w:rPr>
        <w:t xml:space="preserve">ETAP 0: Audyt danych — zanim cokolwiek budujemy, musimy wiedzieć, jakie dane mamy i w jakiej jakości</w:t>
      </w:r>
    </w:p>
    <w:p>
      <w:pPr>
        <w:pStyle w:val="ListParagraph"/>
        <w:numPr>
          <w:ilvl w:val="0"/>
          <w:numId w:val="2"/>
        </w:numPr>
        <w:spacing w:after="40" w:before="40" w:line="280"/>
        <w:jc w:val="left"/>
      </w:pPr>
      <w:r>
        <w:rPr>
          <w:rFonts w:ascii="Calibri" w:cs="Calibri" w:eastAsia="Calibri" w:hAnsi="Calibri"/>
          <w:b w:val="false"/>
          <w:bCs w:val="false"/>
          <w:color w:val="3A3A3A"/>
          <w:sz w:val="22"/>
          <w:szCs w:val="22"/>
        </w:rPr>
        <w:t xml:space="preserve">Moduł importu danych — jednorazowy import z Excelów, które dzisiaj prowadzi Centrala</w:t>
      </w:r>
    </w:p>
    <w:p>
      <w:pPr>
        <w:pStyle w:val="ListParagraph"/>
        <w:numPr>
          <w:ilvl w:val="0"/>
          <w:numId w:val="2"/>
        </w:numPr>
        <w:spacing w:after="40" w:before="40" w:line="280"/>
        <w:jc w:val="left"/>
      </w:pPr>
      <w:r>
        <w:rPr>
          <w:rFonts w:ascii="Calibri" w:cs="Calibri" w:eastAsia="Calibri" w:hAnsi="Calibri"/>
          <w:b w:val="false"/>
          <w:bCs w:val="false"/>
          <w:color w:val="3A3A3A"/>
          <w:sz w:val="22"/>
          <w:szCs w:val="22"/>
        </w:rPr>
        <w:t xml:space="preserve">Data governance — kto odpowiada za jakość danych? Kto wprowadza stawki zakupu? Kto aktualizuje statusy?</w:t>
      </w:r>
    </w:p>
    <w:p>
      <w:pPr>
        <w:pStyle w:val="ListParagraph"/>
        <w:numPr>
          <w:ilvl w:val="0"/>
          <w:numId w:val="2"/>
        </w:numPr>
        <w:spacing w:after="40" w:before="40" w:line="280"/>
        <w:jc w:val="left"/>
      </w:pPr>
      <w:r>
        <w:rPr>
          <w:rFonts w:ascii="Calibri" w:cs="Calibri" w:eastAsia="Calibri" w:hAnsi="Calibri"/>
          <w:b w:val="false"/>
          <w:bCs w:val="false"/>
          <w:color w:val="3A3A3A"/>
          <w:sz w:val="22"/>
          <w:szCs w:val="22"/>
        </w:rPr>
        <w:t xml:space="preserve">Change management — plan komunikacji i szkoleń dla Centrali (nie tylko IT)</w:t>
      </w:r>
    </w:p>
    <w:p>
      <w:pPr>
        <w:pStyle w:val="ListParagraph"/>
        <w:numPr>
          <w:ilvl w:val="0"/>
          <w:numId w:val="2"/>
        </w:numPr>
        <w:spacing w:after="40" w:before="40" w:line="280"/>
        <w:jc w:val="left"/>
      </w:pPr>
      <w:r>
        <w:rPr>
          <w:rFonts w:ascii="Calibri" w:cs="Calibri" w:eastAsia="Calibri" w:hAnsi="Calibri"/>
          <w:b w:val="false"/>
          <w:bCs w:val="false"/>
          <w:color w:val="3A3A3A"/>
          <w:sz w:val="22"/>
          <w:szCs w:val="22"/>
        </w:rPr>
        <w:t xml:space="preserve">Feedback loop — cykliczne demo co 2 tygodnie z użytkownikami Centrali</w:t>
      </w:r>
    </w:p>
    <w:p>
      <w:pPr>
        <w:spacing w:after="0" w:before="0"/>
      </w:pPr>
    </w:p>
    <w:p>
      <w:pPr>
        <w:spacing w:after="160" w:before="280" w:line="280"/>
        <w:jc w:val="left"/>
      </w:pPr>
      <w:r>
        <w:rPr>
          <w:rFonts w:ascii="Calibri" w:cs="Calibri" w:eastAsia="Calibri" w:hAnsi="Calibri"/>
          <w:b/>
          <w:bCs/>
          <w:color w:val="3A3A3A"/>
          <w:sz w:val="24"/>
          <w:szCs w:val="24"/>
        </w:rPr>
        <w:t xml:space="preserve">7.2. Co zmienić w planie</w:t>
      </w:r>
    </w:p>
    <w:p>
      <w:pPr>
        <w:pStyle w:val="ListParagraph"/>
        <w:numPr>
          <w:ilvl w:val="0"/>
          <w:numId w:val="2"/>
        </w:numPr>
        <w:spacing w:after="40" w:before="40" w:line="280"/>
        <w:jc w:val="left"/>
      </w:pPr>
      <w:r>
        <w:rPr>
          <w:rFonts w:ascii="Calibri" w:cs="Calibri" w:eastAsia="Calibri" w:hAnsi="Calibri"/>
          <w:b w:val="false"/>
          <w:bCs w:val="false"/>
          <w:color w:val="3A3A3A"/>
          <w:sz w:val="22"/>
          <w:szCs w:val="22"/>
        </w:rPr>
        <w:t xml:space="preserve">Kolejność etapów: plan zaczyna od Demand (Etap 1), ale dane są w Engagement (Etap 6). Odwrócić kolejność!</w:t>
      </w:r>
    </w:p>
    <w:p>
      <w:pPr>
        <w:pStyle w:val="ListParagraph"/>
        <w:numPr>
          <w:ilvl w:val="0"/>
          <w:numId w:val="2"/>
        </w:numPr>
        <w:spacing w:after="40" w:before="40" w:line="280"/>
        <w:jc w:val="left"/>
      </w:pPr>
      <w:r>
        <w:rPr>
          <w:rFonts w:ascii="Calibri" w:cs="Calibri" w:eastAsia="Calibri" w:hAnsi="Calibri"/>
          <w:b w:val="false"/>
          <w:bCs w:val="false"/>
          <w:color w:val="3A3A3A"/>
          <w:sz w:val="22"/>
          <w:szCs w:val="22"/>
        </w:rPr>
        <w:t xml:space="preserve">Control Tower: NIE budować jako osobny moduł. To widok agregujący — powstaje automatycznie z modułów.</w:t>
      </w:r>
    </w:p>
    <w:p>
      <w:pPr>
        <w:pStyle w:val="ListParagraph"/>
        <w:numPr>
          <w:ilvl w:val="0"/>
          <w:numId w:val="2"/>
        </w:numPr>
        <w:spacing w:after="40" w:before="40" w:line="280"/>
        <w:jc w:val="left"/>
      </w:pPr>
      <w:r>
        <w:rPr>
          <w:rFonts w:ascii="Calibri" w:cs="Calibri" w:eastAsia="Calibri" w:hAnsi="Calibri"/>
          <w:b w:val="false"/>
          <w:bCs w:val="false"/>
          <w:color w:val="3A3A3A"/>
          <w:sz w:val="22"/>
          <w:szCs w:val="22"/>
        </w:rPr>
        <w:t xml:space="preserve">Predictive Planning: przesunąć na Q1 2027. Bez danych historycznych to fikcja.</w:t>
      </w:r>
    </w:p>
    <w:p>
      <w:pPr>
        <w:pStyle w:val="ListParagraph"/>
        <w:numPr>
          <w:ilvl w:val="0"/>
          <w:numId w:val="2"/>
        </w:numPr>
        <w:spacing w:after="40" w:before="40" w:line="280"/>
        <w:jc w:val="left"/>
      </w:pPr>
      <w:r>
        <w:rPr>
          <w:rFonts w:ascii="Calibri" w:cs="Calibri" w:eastAsia="Calibri" w:hAnsi="Calibri"/>
          <w:b w:val="false"/>
          <w:bCs w:val="false"/>
          <w:color w:val="3A3A3A"/>
          <w:sz w:val="22"/>
          <w:szCs w:val="22"/>
        </w:rPr>
        <w:t xml:space="preserve">Hit Ratio Engine: dodać etap importu danych jako wymaganie #0.</w:t>
      </w:r>
    </w:p>
    <w:p>
      <w:pPr>
        <w:spacing w:after="0" w:before="0"/>
      </w:pPr>
    </w:p>
    <w:p>
      <w:pPr>
        <w:spacing w:after="160" w:before="280" w:line="280"/>
        <w:jc w:val="left"/>
      </w:pPr>
      <w:r>
        <w:rPr>
          <w:rFonts w:ascii="Calibri" w:cs="Calibri" w:eastAsia="Calibri" w:hAnsi="Calibri"/>
          <w:b/>
          <w:bCs/>
          <w:color w:val="3A3A3A"/>
          <w:sz w:val="24"/>
          <w:szCs w:val="24"/>
        </w:rPr>
        <w:t xml:space="preserve">7.3. Co jest dobrze w planie</w:t>
      </w:r>
    </w:p>
    <w:p>
      <w:pPr>
        <w:pStyle w:val="ListParagraph"/>
        <w:numPr>
          <w:ilvl w:val="0"/>
          <w:numId w:val="2"/>
        </w:numPr>
        <w:spacing w:after="40" w:before="40" w:line="280"/>
        <w:jc w:val="left"/>
      </w:pPr>
      <w:r>
        <w:rPr>
          <w:rFonts w:ascii="Calibri" w:cs="Calibri" w:eastAsia="Calibri" w:hAnsi="Calibri"/>
          <w:b w:val="false"/>
          <w:bCs w:val="false"/>
          <w:color w:val="3A3A3A"/>
          <w:sz w:val="22"/>
          <w:szCs w:val="22"/>
        </w:rPr>
        <w:t xml:space="preserve">Wizja ${PQ}Operating System Body Leasingu${PQC} — trafna strategicznie. ComPass musi wyjść poza retencję.</w:t>
      </w:r>
    </w:p>
    <w:p>
      <w:pPr>
        <w:pStyle w:val="ListParagraph"/>
        <w:numPr>
          <w:ilvl w:val="0"/>
          <w:numId w:val="2"/>
        </w:numPr>
        <w:spacing w:after="40" w:before="40" w:line="280"/>
        <w:jc w:val="left"/>
      </w:pPr>
      <w:r>
        <w:rPr>
          <w:rFonts w:ascii="Calibri" w:cs="Calibri" w:eastAsia="Calibri" w:hAnsi="Calibri"/>
          <w:b w:val="false"/>
          <w:bCs w:val="false"/>
          <w:color w:val="3A3A3A"/>
          <w:sz w:val="22"/>
          <w:szCs w:val="22"/>
        </w:rPr>
        <w:t xml:space="preserve">Wybór 3 priorytetów (Hit Ratio + Margin Monitor + Contract Risk) — idealny. Potwierdzam.</w:t>
      </w:r>
    </w:p>
    <w:p>
      <w:pPr>
        <w:pStyle w:val="ListParagraph"/>
        <w:numPr>
          <w:ilvl w:val="0"/>
          <w:numId w:val="2"/>
        </w:numPr>
        <w:spacing w:after="40" w:before="40" w:line="280"/>
        <w:jc w:val="left"/>
      </w:pPr>
      <w:r>
        <w:rPr>
          <w:rFonts w:ascii="Calibri" w:cs="Calibri" w:eastAsia="Calibri" w:hAnsi="Calibri"/>
          <w:b w:val="false"/>
          <w:bCs w:val="false"/>
          <w:color w:val="3A3A3A"/>
          <w:sz w:val="22"/>
          <w:szCs w:val="22"/>
        </w:rPr>
        <w:t xml:space="preserve">End-to-end myślenie o procesie body leasingu — od request do placement. To jest właściwy framework.</w:t>
      </w:r>
    </w:p>
    <w:p>
      <w:pPr>
        <w:pStyle w:val="ListParagraph"/>
        <w:numPr>
          <w:ilvl w:val="0"/>
          <w:numId w:val="2"/>
        </w:numPr>
        <w:spacing w:after="40" w:before="40" w:line="280"/>
        <w:jc w:val="left"/>
      </w:pPr>
      <w:r>
        <w:rPr>
          <w:rFonts w:ascii="Calibri" w:cs="Calibri" w:eastAsia="Calibri" w:hAnsi="Calibri"/>
          <w:b w:val="false"/>
          <w:bCs w:val="false"/>
          <w:color w:val="3A3A3A"/>
          <w:sz w:val="22"/>
          <w:szCs w:val="22"/>
        </w:rPr>
        <w:t xml:space="preserve">Control Tower jako warstwa nadrzedna — koncepcyjnie poprawne. Wymaga tylko zmiany kolejności.</w:t>
      </w:r>
    </w:p>
    <w:p>
      <w:pPr>
        <w:pageBreakBefore/>
      </w:pPr>
    </w:p>
    <w:p>
      <w:pPr>
        <w:spacing w:after="200" w:before="360" w:line="280"/>
        <w:jc w:val="left"/>
      </w:pPr>
      <w:r>
        <w:rPr>
          <w:rFonts w:ascii="Calibri" w:cs="Calibri" w:eastAsia="Calibri" w:hAnsi="Calibri"/>
          <w:b/>
          <w:bCs/>
          <w:color w:val="E73748"/>
          <w:sz w:val="26"/>
          <w:szCs w:val="26"/>
        </w:rPr>
        <w:t xml:space="preserve">8. PODSUMOWANIE WYKONAWCZE</w:t>
      </w:r>
    </w:p>
    <w:p>
      <w:pPr>
        <w:spacing w:after="0" w:before="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4600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shd w:fill="E8F5E9" w:val="clear"/>
            <w:vAlign w:val="center"/>
          </w:tcPr>
          <w:p>
            <w:pPr>
              <w:spacing w:after="40" w:before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228B22"/>
                <w:sz w:val="22"/>
                <w:szCs w:val="22"/>
              </w:rPr>
              <w:t xml:space="preserve">MOŻNA WDROŻYĆ TERAZ</w:t>
            </w:r>
          </w:p>
          <w:p>
            <w:pPr>
              <w:spacing w:after="120" w:before="40"/>
              <w:jc w:val="center"/>
            </w:pPr>
            <w:r>
              <w:rPr>
                <w:rFonts w:ascii="Calibri" w:cs="Calibri" w:eastAsia="Calibri" w:hAnsi="Calibri"/>
                <w:color w:val="3A3A3A"/>
                <w:sz w:val="20"/>
                <w:szCs w:val="20"/>
              </w:rPr>
              <w:t xml:space="preserve">F8 Margin Monitor
F9 Contract Risk Predictor
F10 Cost of Churn
F6 Hit Ratio Engine</w:t>
            </w:r>
          </w:p>
        </w:tc>
        <w:tc>
          <w:tcPr>
            <w:tcW w:type="dxa" w:w="4600"/>
            <w:tcBorders>
              <w:top w:val="single" w:color="AAB4BF" w:sz="1"/>
              <w:left w:val="single" w:color="AAB4BF" w:sz="1"/>
              <w:bottom w:val="single" w:color="AAB4BF" w:sz="1"/>
              <w:right w:val="single" w:color="AAB4BF" w:sz="1"/>
            </w:tcBorders>
            <w:shd w:fill="FFEBEE" w:val="clear"/>
            <w:vAlign w:val="center"/>
          </w:tcPr>
          <w:p>
            <w:pPr>
              <w:spacing w:after="40" w:before="12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CC0000"/>
                <w:sz w:val="22"/>
                <w:szCs w:val="22"/>
              </w:rPr>
              <w:t xml:space="preserve">WYMAGA DECYZJI STRATEGICZNEJ</w:t>
            </w:r>
          </w:p>
          <w:p>
            <w:pPr>
              <w:spacing w:after="120" w:before="40"/>
              <w:jc w:val="center"/>
            </w:pPr>
            <w:r>
              <w:rPr>
                <w:rFonts w:ascii="Calibri" w:cs="Calibri" w:eastAsia="Calibri" w:hAnsi="Calibri"/>
                <w:color w:val="3A3A3A"/>
                <w:sz w:val="20"/>
                <w:szCs w:val="20"/>
              </w:rPr>
              <w:t xml:space="preserve">F1 Request Scoring (ATS?)
F2 Sourcing KPI (ATS?)
F3 Pipeline Health (ATS?)
F4 CV Quality (NLP/AI?)
F11 Control Tower (dane?)
F12 Predictive (czas?)</w:t>
            </w:r>
          </w:p>
        </w:tc>
      </w:tr>
    </w:tbl>
    <w:p>
      <w:pPr>
        <w:spacing w:after="0" w:before="0"/>
      </w:pPr>
    </w:p>
    <w:p>
      <w:pPr>
        <w:spacing w:after="0" w:before="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000"/>
            <w:tcBorders>
              <w:top w:val="single" w:color="E1E1E1" w:sz="1"/>
              <w:left w:val="single" w:color="E73748" w:sz="6"/>
              <w:bottom w:val="single" w:color="E1E1E1" w:sz="1"/>
              <w:right w:val="single" w:color="E1E1E1" w:sz="1"/>
            </w:tcBorders>
            <w:shd w:fill="F5F4EC" w:val="clear"/>
          </w:tcPr>
          <w:p>
            <w:pPr>
              <w:spacing w:after="80" w:before="80"/>
            </w:pPr>
            <w:r>
              <w:rPr>
                <w:rFonts w:ascii="Calibri" w:cs="Calibri" w:eastAsia="Calibri" w:hAnsi="Calibri"/>
                <w:b/>
                <w:bCs/>
                <w:color w:val="E73748"/>
                <w:sz w:val="22"/>
                <w:szCs w:val="22"/>
              </w:rPr>
              <w:t xml:space="preserve">WNIOSEK KOŃCOWY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Calibri" w:cs="Calibri" w:eastAsia="Calibri" w:hAnsi="Calibri"/>
                <w:color w:val="3A3A3A"/>
                <w:sz w:val="20"/>
                <w:szCs w:val="20"/>
              </w:rPr>
              <w:t xml:space="preserve">Plan v2 jest strategicznie trafny i dobrze odpowiada na realne problemy operacyjne body leasingu.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Calibri" w:cs="Calibri" w:eastAsia="Calibri" w:hAnsi="Calibri"/>
                <w:color w:val="3A3A3A"/>
                <w:sz w:val="20"/>
                <w:szCs w:val="20"/>
              </w:rPr>
              <w:t xml:space="preserve">Główne ryzyko: plan zaczyna od etapów, które wymagają danych nieistniejących w systemie.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Calibri" w:cs="Calibri" w:eastAsia="Calibri" w:hAnsi="Calibri"/>
                <w:color w:val="3A3A3A"/>
                <w:sz w:val="20"/>
                <w:szCs w:val="20"/>
              </w:rPr>
              <w:t xml:space="preserve">Rekomendacja: odwrócić kolejność, zacząć od Quick Wins (Engagement/Placement), równolegle podjąć decyzję o ATS.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Calibri" w:cs="Calibri" w:eastAsia="Calibri" w:hAnsi="Calibri"/>
                <w:color w:val="3A3A3A"/>
                <w:sz w:val="20"/>
                <w:szCs w:val="20"/>
              </w:rPr>
              <w:t xml:space="preserve">Scenariusz realistyczny: 5 funkcji w 20 tygodni, ROI widoczny już po Fazie 1 (12 tygodni).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Calibri" w:cs="Calibri" w:eastAsia="Calibri" w:hAnsi="Calibri"/>
                <w:color w:val="3A3A3A"/>
                <w:sz w:val="20"/>
                <w:szCs w:val="20"/>
              </w:rPr>
              <w:t xml:space="preserve">Kluczowy next step: AUDYT DANYCH — co mamy, w jakiej jakości, co trzeba zaimportować.</w:t>
            </w:r>
          </w:p>
        </w:tc>
      </w:tr>
    </w:tbl>
    <w:p>
      <w:pPr>
        <w:spacing w:after="0" w:before="0"/>
      </w:pPr>
    </w:p>
    <w:p>
      <w:pPr>
        <w:spacing w:after="0" w:before="0"/>
      </w:pPr>
    </w:p>
    <w:p>
      <w:pPr>
        <w:spacing w:before="400"/>
        <w:jc w:val="center"/>
      </w:pPr>
      <w:r>
        <w:rPr>
          <w:rFonts w:ascii="Calibri" w:cs="Calibri" w:eastAsia="Calibri" w:hAnsi="Calibri"/>
          <w:b/>
          <w:bCs/>
          <w:color w:val="AAB4BF"/>
          <w:sz w:val="20"/>
          <w:szCs w:val="20"/>
        </w:rPr>
        <w:t xml:space="preserve">B2B.net S.A.  |  ComPass v2.0 Feasibility  |  Luty 2026</w:t>
      </w:r>
    </w:p>
    <w:sectPr>
      <w:headerReference w:type="default" r:id="rId7"/>
      <w:footerReference w:type="default" r:id="rId8"/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638"/>
      </w:tabs>
    </w:pPr>
    <w:r>
      <w:rPr>
        <w:rFonts w:ascii="Calibri" w:cs="Calibri" w:eastAsia="Calibri" w:hAnsi="Calibri"/>
        <w:i/>
        <w:iCs/>
        <w:color w:val="666666"/>
        <w:sz w:val="16"/>
        <w:szCs w:val="16"/>
      </w:rPr>
      <w:t xml:space="preserve">B2B.net S.A. - Dokument poufny</w:t>
    </w:r>
    <w:r>
      <w:t xml:space="preserve">	</w:t>
    </w:r>
    <w:r>
      <w:rPr>
        <w:rFonts w:ascii="Calibri" w:cs="Calibri" w:eastAsia="Calibri" w:hAnsi="Calibri"/>
        <w:color w:val="666666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666666"/>
        <w:sz w:val="18"/>
        <w:szCs w:val="18"/>
      </w:rPr>
      <w:t xml:space="preserve"> z </w:t>
    </w:r>
    <w:r>
      <w:rPr>
        <w:rFonts w:ascii="Calibri" w:cs="Calibri" w:eastAsia="Calibri" w:hAnsi="Calibri"/>
        <w:color w:val="666666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400"/>
      <w:jc w:val="left"/>
    </w:pPr>
    <w:r>
      <w:drawing>
        <wp:inline distT="0" distB="0" distL="0" distR="0">
          <wp:extent cx="876300" cy="590550"/>
          <wp:effectExtent t="0" r="0" b="0" l="0"/>
          <wp:docPr id="1" name="Logo" descr="B2B.net S.A." title="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5905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62dcc06177883a79ff0876a059909478cb178541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62dcc06177883a79ff0876a059909478cb178541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2026-02-24T12:59:11.412Z</dcterms:created>
  <dcterms:modified xsi:type="dcterms:W3CDTF">2026-02-24T12:59:11.418Z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