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Logo" descr="B2B.net S.A.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E73748"/>
          <w:sz w:val="48"/>
          <w:szCs w:val="48"/>
        </w:rPr>
        <w:t xml:space="preserve">OCENA ARCHITEKTURY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3A3A3A"/>
          <w:sz w:val="32"/>
          <w:szCs w:val="32"/>
        </w:rPr>
        <w:t xml:space="preserve">Funkcja Compass: Umowa – Konsultant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AAB4BF"/>
          <w:sz w:val="24"/>
          <w:szCs w:val="24"/>
        </w:rPr>
        <w:t xml:space="preserve">Weryfikacja założeń projektowych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27 lutego 2026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AAB4BF"/>
          <w:sz w:val="20"/>
          <w:szCs w:val="20"/>
        </w:rPr>
        <w:t xml:space="preserve">Dokument poufny – wyłącznie do użytku wewnętrznego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E73748"/>
          <w:sz w:val="28"/>
          <w:szCs w:val="28"/>
        </w:rPr>
        <w:t xml:space="preserve">1. Podsumowanie wykonawcze (Executive Summary)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Dokument przedstawia ocenę założeń architektonicznych dla nowej funkcji Compass: „Umowa – Konsultant”. Moduł ma działać jako samodzielna aplikacja (osobne repo GitHub), z późniejs zą integracją z głównym systemem Compass.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2"/>
          <w:szCs w:val="22"/>
        </w:rPr>
        <w:t xml:space="preserve">OCENA OGÓLNA: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Założenia są solidne i dobrze przemyślane. Autor wykazuje dojrzałe rozumienie architektury modularnej, bezpieczeństwa danych (RLS) i pragmatycznego podejścia do MVP. Zidentyfikowano 5 kluczowych mocnych stron i 7 obszarów wymagających doprecyzowania lub korekty.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Matryca oceny obszarów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200"/>
        <w:gridCol w:w="3038"/>
      </w:tblGrid>
      <w:tr>
        <w:trPr>
          <w:tblHeader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Ocena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Komentarz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Stack technologiczny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Excellent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Pełna spójność z Compass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Izolacja repo/backend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Excellent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Trafna rekomendacja osobnego Supabase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Model danych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Dobry, do doprecyzowania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Brakuje paru encji i constraintów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Bezpieczeństwo (RLS/role)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Dobry, do doprecyzowania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Koncepcja OK, wymaga implementacji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Strategia integracji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Dobry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Subtree dobry wybór, brak planu migracji danych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Podejście AI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Dobry, ale ryzykowny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Guard-rails OK, brak fallbacku offline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UX/UI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Dobry MVP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mockupów i user stories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Plan wdrożenia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Wymaga doprecyzowania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estymacji, kamieni milowych, ownerów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Obsługa błędów/edge cases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Wymaga uzupełnienia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strategii offline, error handling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Testy i QA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2/5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Brak założeń</w:t>
            </w:r>
          </w:p>
        </w:tc>
        <w:tc>
          <w:tcPr>
            <w:tcW w:type="dxa" w:w="303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Zero wzmianki o strategii testowania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E73748"/>
          <w:sz w:val="28"/>
          <w:szCs w:val="28"/>
        </w:rPr>
        <w:t xml:space="preserve">2. Mocne strony założeń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2.1. Dojrzała decyzja o izolacji backend’u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Rekomendacja osobnego projektu Supabase (DEV/staging) to najlepsza decyzja w całym dokumencie. Argumentacja jest trafna: współdzielenie Supabase z Compass produkcyjnym unieważnia izolację repozytorium. Każdy developer z dostępem do .env mógłby odpytywać dane produkcyjne.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Eliminuje ryzyko wycieku danych Compass w fazie developmentu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Umożliwia czyste dane testowe bez zaśmiecania produkcji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Migracje SQL jako artefakt do przeniesienia — kontrolowany proces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2.2. Architektura „pod transplant”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Konwencja nazewnictwa (modules/contract/*, components/contract/*, lib/contract/*) jest kluczowa. Dzięki niej późniejsza integracja z Compass sprowadza się do mechanicznego przeniesienia folderów, a nie refaktoryzacji całej aplikacji.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2.3. Pragmatyczne MVP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Rozdzielenie na Sprint 1 (core) i Sprint 2 (value) to dojrzałe podejście. Nie ma próby zbudowania „idealnego świata” od razu. Eksport PDF przez window.print() + CSS print na start to rozsądna oszczędność czasu.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2.4. RLS jako „najważniejszy bezpiecznik”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Autor słusznie podkreśla, że role muszą być wymuszone na poziomie bazy danych (RLS), a nie tylko w UI. To enterprise-grade podejście. Nawet jeśli ktoś „zhakuje UI”, dane pozostają bezpieczne.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2.5. Dwa widoki jednego kontraktu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Podział na „Consultant View” (read-only klauzule + komentarze) i „Centrala View” (pełna edycja + AI) jest logiczny i odpowiada realnemu procesowi negocjacji umów w B2B.net.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E73748"/>
          <w:sz w:val="28"/>
          <w:szCs w:val="28"/>
        </w:rPr>
        <w:t xml:space="preserve">3. Krytyczne luki i rekomendacje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3.1. BRAK: Strategia testowania (Krytyczne!)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C62828"/>
          <w:sz w:val="22"/>
          <w:szCs w:val="22"/>
        </w:rPr>
        <w:t xml:space="preserve">BRAK — zero wzmianki w całym dokumencie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W założeniach nie ma ani słowa o testach. Dla modułu obsługującego umowy (prawnie wiążące dokumenty!) to poważne ryzyko. Ewentualne błędy w klauzulach, statusach czy uprawnieniach mogą mieć konsekwencje prawne.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Rekomendacja: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Unit testy: logika biznesowa (statusy klauzul, walidacja praw dostępu, generowanie PDF)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Integration testy: RLS policies (Supabase Testing Framework lub pgTAP)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E2E testy: krytyczne ścieżki — tworzenie umowy, negocjacja klauzuli, finalizacja (Playwright)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Cel pokrycia: minimum 80% logiki biznesowej, 100% RLS policies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3.2. BRAK: Plan wdrożenia z estymacjami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E65100"/>
          <w:sz w:val="22"/>
          <w:szCs w:val="22"/>
        </w:rPr>
        <w:t xml:space="preserve">Częściowy — jest podział na sprinty, brak konkretów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Dokument mówi „Sprint 1” i „Sprint 2”, ale nie podaje: estymacji czasowych (ile tygodni?), odpowiedzialnych osób, kamieni milowych, kryteriów akceptacji ani definicji „Done” dla każdego elementu.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Rekomendacja: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Sprint 1 (core): 3–4 tygodnie — role + RLS, CRUD kategorii, tworzenie umowy, widok konsultanta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Sprint 2 (value): 2–3 tygodnie — AI sugestie, print preview, historia zmian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Sprint 3 (integration): 2 tygodnie — testy integracyjne, migracja do Compass, UAT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Dodaj Definition of Done per sprint + kryteria akceptacji per user story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3.3. Model danych — brakujące elementy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E65100"/>
          <w:sz w:val="22"/>
          <w:szCs w:val="22"/>
        </w:rPr>
        <w:t xml:space="preserve">Dobra baza, wymaga rozszerzenia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Autor ma solidny szkic tabel, ale brakuje kilku kluczowych elementów: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A. Brak tabeli audit_log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Dla modułu obsługującego umowy, audit trail to nie „nice to have” — to wymg compliance. Każda zmiana klauzuli, statusu, komentarza powinna być logowana z timestampem, autorem i wartością przed/po.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B. Brak mechanizmu blokady równoczesnej edycji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Co jeśli dwóch użytkowników Centrali edytuje tę samą klauzulę jednocześnie? Brak optimistic locking (np. kolumna version/updated_at w contract_clauses) to zaproszenie do utraty danych.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C. Brak soft delete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Usunięcie kategorii, szablonu lub klauzuli powinno być „miękkie” (deleted_at timestamp). Twarde DELETE na danych prawnych to ryzyko regulacyjne.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3.4. Integracja z Compass — brak planu migracji danych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E65100"/>
          <w:sz w:val="22"/>
          <w:szCs w:val="22"/>
        </w:rPr>
        <w:t xml:space="preserve">Dobra strategia kodu, słaba strategia danych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Dokument szczegółowo opisuje 3 ścieżki integracji kodu (transplant, subtree, package), ale całkowicie pomija migrację danych z DEV Supabase do PROD Supabase Compass. To jest najtrudniejsza część!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Rekomendacja: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Opracuj skrypt migracji danych (szablony, kategorie, polityki klauzul)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Zdecyduj: czy użytkownicy DEV = użytkownicy PROD? Jeśli nie — jak mapujesz user_id?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Zaplanuj „cutover”: czy dane z DEV-a są seedem, czy realną produkcją?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Rekomendacja: traktuj dane DEV jako seed/testowe, PROD startuje od zera z migracjami SQL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3.5. AI — brakujące guard-rails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E65100"/>
          <w:sz w:val="22"/>
          <w:szCs w:val="22"/>
        </w:rPr>
        <w:t xml:space="preserve">Dobra koncepcja, wymaga uzupełnienia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Zasada „AI nie halucynuje prawa” jest świetna. Brakuje jednak: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Fallback offline: co jeśli API AI jest niedostępne? Czy użytkownik może kontynuować pracę bez AI?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Rate limiting: ile zapytań AI per umowa/per użytkownik? Koszty API mogą wymknąć się spod kontroli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Logowanie promptów: dla audytu i debugowania — co AI zaproponowało, co użytkownik zaakceptował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Wersjonowanie modeli: który model AI użyto? Ważne przy zmianie providerów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Disclaimer w UI: widoczna informacja „To jest propozycja AI, nie porada prawna”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3.6. Bezpieczeństwo — magic link i dostęp zewnętrzny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E65100"/>
          <w:sz w:val="22"/>
          <w:szCs w:val="22"/>
        </w:rPr>
        <w:t xml:space="preserve">Ryzykowny element, wymaga przemyślenia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Dokument wspomina o access_mode: auth | magic_link i consultant_access_token_hash. To otwiera drzwi do dostępu bez konta Supabase. Ryzyka: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Token w URL = wyciek przez referer header, logi serwera, historia przeglądarki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TTL (time-to-live) na tokenie — czy link działa wiecznie?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limitu użyć — czy link można przekazać osobie trzeciej?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Rekomendacja: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Jeśli magic link: TTL max 72h, single-use, logowanie IP + user-agent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Lepsze rozwiązanie: wymuszenie konta Supabase dla konsultantów (SSO lub email invite)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Jeśli konto: passwordless (magic link do logowania, nie do umowy) — bezpieczniej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3.7. Obsługa błędów i edge cases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E65100"/>
          <w:sz w:val="22"/>
          <w:szCs w:val="22"/>
        </w:rPr>
        <w:t xml:space="preserve">Brak w założeniach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Dokument nie adresuje scenariuszy awaryjnych: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 jeśli Supabase jest niedostępny? (graceful degradation vs hard error)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 jeśli generowanie PDF się nie powiedzie? (retry, fallback do print)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 jeśli konsultant próbuje edytować sfinalizowaną umowę?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 jeśli szablon zmieni się w trakcie negocjacji umowy? (snapshot chroni, ale UI musi to komunikować)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Walidacja danych wejściowych (NIP, REGON, email — format, unikalność)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E73748"/>
          <w:sz w:val="28"/>
          <w:szCs w:val="28"/>
        </w:rPr>
        <w:t xml:space="preserve">4. Scenariusze wdrożenia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4.1. Scenariusz konserwatywny (8–10 tygodni)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Pełna implementacja z testami, dokumentacją i audytem bezpieczeństwa przed integracją z Compass.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1–2: Setup repo, Supabase DEV, migracje, RLS, seed data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3–5: MVP (edytor, widoki, role, kategorie)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6–7: AI integration + testy (unit, integration, RLS)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8: UAT z 2–3 konsultantami (pilot)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9–10: Integracja z Compass (subtree + migracje PROD)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Ryzyko: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Niskie. Koszt: wyższy naład czasowy. Wartość: maksymalna pewność.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4.2. Scenariusz realistyczny (6–8 tygodni)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Zgodny z duchem dokumentu: szybkie MVP, późniejsze doszlifowanie.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1: Setup + model danych + RLS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2–4: MVP Sprint 1 (core functionality)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5–6: Sprint 2 (AI + print + historia)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7: Testy krytycznych ścieżek + pilot 1 konsultant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8: Integracja z Compass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Ryzyko: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Średnie. Wymaga zdyscyplinowanego zespołu. Kompromis między szybkością a jakością.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4.3. Scenariusz agresywny (4–5 tygodni)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Minimum viable: tylko core, bez AI, integracja z Compass od razu.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1: Setup + model + RLS + routing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2–3: Edytor klauzul + widoki + eksport print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4: Szybkie testy manualne + integracja z Compass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Tyg. 5: AI jako follow-up (feature flag)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Ryzyko: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Wysokie. Dług techniczny od dnia 1. Akceptowalne tylko jeśli deadline jest twardy.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E73748"/>
          <w:sz w:val="28"/>
          <w:szCs w:val="28"/>
        </w:rPr>
        <w:t xml:space="preserve">5. Komentarze szczegółowe do poszczególnych sekcji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5.1. Sekcja „Repozytorium” — Ocena: Bardzo dobra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Next.js + TypeScript + Tailwind + shadcn/ui to identyczny stack jak Compass — brak ryzyka niekompatybilności. Konwencja nazewnictwa folderów jest jasna i przyszłościowa.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Drobna korekta: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Dodaj .nvmrc z wersją Node (spójność środowisk)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Dodaj .env.example z listą wymaganych zmiennych (bez wartości!)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Rozważ husky + lint-staged od początku (jakość kodu od dnia 1)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5.2. Sekcja „Model danych” — Ocena: Dobra, z lukami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Propozycje dodania policy_constraints, clause_status, template_version_at_creation i pdf_sha256 są trafne. Brakuje natomiast: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Indeksów na często filtrowanych kolumnach (status, category_id, consultant_user_id)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Check constraints (np. clause_type IN ('fixed','negotiable','removable'))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Default values (np. created_at DEFAULT now(), status DEFAULT 'draft')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ON DELETE CASCADE vs RESTRICT — decyzja kr yczna dla spójności danych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5.3. Sekcja „Rozdzielenie ról” — Ocena: Bardzo dobra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Podział consultant | centrala | admin jest logiczny. Rekomendacja B (centrala widzi tylko przypisane + admin override) to enterprise-grade podejście, spójne z zasadą least privilege.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Uwaga: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roli „viewer” / „readonly” — przydatna dla prawników zewnętrznych lub audytorów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mechanizmu delegacji (np. centrala_owner jedzie na urlop — kto przejmuje?)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5.4. Sekcja „Integracja z Compass” — Ocena: Dobra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Git subtree (Ścieżka B) to najlepszy wybór. Zachowuje niezależność repo, daje kontrolę aktualizacji, i nie wymaga narzutu monorepo.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Uwaga: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Ustal convention: subtree prefix (np. modules/contract)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Zaplanuj: kiedy „zamrażasz” standalone repo po integracji? Czy dalej rozwijasz równolegle?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Dokumentuj: jak robić subtree pull bez konfliktów (merge strategy)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5.5. Sekcja „AI” — Ocena: Dobra koncepcja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Dwa tryby AI (suggest_clause_text i suggest_centrala_reply) to pragmatyczne podejście. Zasada „propozyc a redakcyjna, nie porada prawna” jest kluczowa.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Uzupełnienia: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Dodaj caching odpowiedzi AI (te same klauzule + te same zastrzeżenia = ten sam wynik)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Dodaj human-in-the-loop: AI proponuje, centrala akceptuje/odrzuca/modyfikuje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Rozważ „temperature” per clause_type: fixed = 0 (deterministic), negotiable = 0.3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E73748"/>
          <w:sz w:val="28"/>
          <w:szCs w:val="28"/>
        </w:rPr>
        <w:t xml:space="preserve">6. Verdict końcowy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MUST HAVE (warunki brzegowe — bez tego nie startujemy):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Strategia testowania (unit + RLS + E2E) — moduł obsługuje dokumenty prawne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Audit log (każda zmiana logowana) — wymg compliance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Plan migracji danych DEV → PROD — bez tego integracja z Compass będzie chaotyczna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Soft delete na wszystkich kluczowych encjach — twarde DELETE = ryzyko prawne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Disclaimer AI w UI — „Propozycja AI, nie porada prawna”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SHOULD HAVE (ważne, negocjowalne):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Estymacje czasowe per sprint + kamienie milowe + ownery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Optimistic locking na klauzulach (zapobieganie utracie danych przy równoczesnej edycji)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Rate limiting i logging dla AI (kontrola kosztów)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Rola „viewer” dla prawników/audytorów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TTL i single-use na magic linkach (jeśli zostaną)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.nvmrc + .env.example + husky od dnia 1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NICE TO HAVE (dodatkowe):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Caching odpowiedzi AI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Mechanizm delegacji (zastępstwa w Centrali)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Multi-language support (jeśli klienci zagraniczni)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Integracja z systemem notyfikacji Compass (email/push)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default"/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Założenia są solidną bazą do budowy modułu. Po uzupełnieniu 5 elementów MUST HAVE można śmiało startować development. Rekomenduję scenariusz realistyczny (6–8 tygodni) z pilotem na 2–3 konsultantach przed integracją z Compass.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Kluczowy przekaz: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Architektura jest przemyślana, ale założenia traktują projekt jak „czysto dev-owy” — brakuje perspektywy operacyjnej (testy, migracja, obsługa błędów, audit). Uzupełnienie tych elementów podniesie projekt z poziomu „dobry POC” do „production-ready module”.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B2B.net S.A. - Dokument poufny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z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  <w:jc w:val="left"/>
    </w:pPr>
    <w:r>
      <w:drawing>
        <wp:inline distT="0" distB="0" distL="0" distR="0">
          <wp:extent cx="876300" cy="590550"/>
          <wp:effectExtent t="0" r="0" b="0" l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dcc06177883a79ff0876a059909478cb1785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dcc06177883a79ff0876a059909478cb17854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2026-02-27T11:20:17.947Z</dcterms:created>
  <dcterms:modified xsi:type="dcterms:W3CDTF">2026-02-27T11:20:17.947Z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