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84C0" w14:textId="77777777" w:rsidR="009B0ACE" w:rsidRDefault="00000000">
      <w:pPr>
        <w:spacing w:before="600" w:after="200"/>
        <w:jc w:val="center"/>
      </w:pPr>
      <w:r>
        <w:rPr>
          <w:rFonts w:ascii="Calibri" w:eastAsia="Calibri" w:hAnsi="Calibri" w:cs="Calibri"/>
          <w:b/>
          <w:bCs/>
          <w:color w:val="E73748"/>
          <w:sz w:val="48"/>
          <w:szCs w:val="48"/>
        </w:rPr>
        <w:t>APLIKACJA MOBILNA DLA KONSULTANTÓW</w:t>
      </w:r>
    </w:p>
    <w:p w14:paraId="645F7F95" w14:textId="77777777" w:rsidR="009B0ACE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3A3A3A"/>
          <w:sz w:val="36"/>
          <w:szCs w:val="36"/>
        </w:rPr>
        <w:t>B2B.net S.A.</w:t>
      </w:r>
    </w:p>
    <w:p w14:paraId="3EAE5C0F" w14:textId="77777777" w:rsidR="009B0ACE" w:rsidRDefault="00000000">
      <w:pPr>
        <w:spacing w:after="400"/>
        <w:jc w:val="center"/>
      </w:pPr>
      <w:r>
        <w:rPr>
          <w:rFonts w:ascii="Calibri" w:eastAsia="Calibri" w:hAnsi="Calibri" w:cs="Calibri"/>
          <w:color w:val="3A3A3A"/>
          <w:sz w:val="24"/>
          <w:szCs w:val="24"/>
        </w:rPr>
        <w:t>Struktura Modułowa i Specyfikacja Funkcjonalna</w:t>
      </w:r>
    </w:p>
    <w:p w14:paraId="420E78A0" w14:textId="77777777" w:rsidR="009B0ACE" w:rsidRDefault="00000000">
      <w:pPr>
        <w:spacing w:after="600"/>
        <w:jc w:val="center"/>
      </w:pPr>
      <w:r>
        <w:rPr>
          <w:rFonts w:ascii="Calibri" w:eastAsia="Calibri" w:hAnsi="Calibri" w:cs="Calibri"/>
          <w:color w:val="AAB4BF"/>
        </w:rPr>
        <w:t>Wersja 1.0 | Styczeń 2026</w:t>
      </w:r>
    </w:p>
    <w:p w14:paraId="40366F69" w14:textId="77777777" w:rsidR="009B0ACE" w:rsidRDefault="00000000">
      <w:pPr>
        <w:spacing w:before="300" w:after="200"/>
      </w:pPr>
      <w:r>
        <w:rPr>
          <w:rFonts w:ascii="Calibri" w:eastAsia="Calibri" w:hAnsi="Calibri" w:cs="Calibri"/>
          <w:b/>
          <w:bCs/>
          <w:color w:val="E73748"/>
          <w:sz w:val="28"/>
          <w:szCs w:val="28"/>
        </w:rPr>
        <w:t>1. EXECUTIVE SUMMARY</w:t>
      </w:r>
    </w:p>
    <w:p w14:paraId="035CEE75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Aplikacja mobilna dla konsultantów B2B.net to strategiczne narzędzie retencji i zarządzania ryzykiem off-boardingu. Nie jest to platforma HR-owa ani benefit, lecz system ekonomiczno-behawioralny służący wydłużeniu średniego czasu trwania kontraktu (tenure) oraz redukcji niekontrolowanych zejść z projektów.</w:t>
      </w:r>
    </w:p>
    <w:p w14:paraId="27842E8A" w14:textId="42E7AE40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1.</w:t>
      </w:r>
      <w:r w:rsidR="00110420">
        <w:rPr>
          <w:rFonts w:ascii="Calibri" w:eastAsia="Calibri" w:hAnsi="Calibri" w:cs="Calibri"/>
          <w:b/>
          <w:bCs/>
          <w:color w:val="3A3A3A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 xml:space="preserve"> Architektura Wysokopoziomowa</w:t>
      </w:r>
    </w:p>
    <w:p w14:paraId="14FA2D91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Aplikacja składa się z dwóch perspektyw: FRONT (widok konsultanta) oraz BACK (panel zarządczy). Obie perspektywy współdzielą bazę danych i silnik analityczny.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2"/>
        <w:gridCol w:w="5232"/>
      </w:tblGrid>
      <w:tr w:rsidR="009B0ACE" w14:paraId="2D6D5D0F" w14:textId="77777777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525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2C773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PERSPEKTYWA KONSULTANTA (FRONT)</w:t>
            </w:r>
          </w:p>
        </w:tc>
        <w:tc>
          <w:tcPr>
            <w:tcW w:w="525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A7452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PERSPEKTYWA ZARZĄDCZA (BACK)</w:t>
            </w:r>
          </w:p>
        </w:tc>
      </w:tr>
      <w:tr w:rsidR="009B0ACE" w14:paraId="35B33A96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525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7D82C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M1: Dashboard konsultanta</w:t>
            </w:r>
          </w:p>
          <w:p w14:paraId="774CF403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M2: Marketplace projektów</w:t>
            </w:r>
          </w:p>
          <w:p w14:paraId="5E3A03BC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M3: Program lojalnościowy</w:t>
            </w:r>
          </w:p>
          <w:p w14:paraId="72AE2BAB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M4: Contract Health Score</w:t>
            </w:r>
          </w:p>
          <w:p w14:paraId="1ECE404D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M5: Skill Development</w:t>
            </w:r>
          </w:p>
          <w:p w14:paraId="69858324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M6: Program poleceń</w:t>
            </w:r>
          </w:p>
          <w:p w14:paraId="4204EC9F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M7: Dokumenty i finanse</w:t>
            </w:r>
          </w:p>
        </w:tc>
        <w:tc>
          <w:tcPr>
            <w:tcW w:w="525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662DB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M8: Dashboard zarządczy (Risk)</w:t>
            </w:r>
          </w:p>
          <w:p w14:paraId="743B5641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M9: Pipeline Matching</w:t>
            </w:r>
          </w:p>
          <w:p w14:paraId="2368EEA1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M10: Consultant Success Hub</w:t>
            </w:r>
          </w:p>
          <w:p w14:paraId="0B976970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M11: Analytics &amp; Reporting</w:t>
            </w:r>
          </w:p>
          <w:p w14:paraId="4AB4A416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M12: Monetyzacja (Right to Hire)</w:t>
            </w:r>
          </w:p>
          <w:p w14:paraId="0F07B4E4" w14:textId="77777777" w:rsidR="009B0ACE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• M13: Alumni Management</w:t>
            </w:r>
          </w:p>
        </w:tc>
      </w:tr>
    </w:tbl>
    <w:p w14:paraId="37DB6954" w14:textId="77777777" w:rsidR="009B0ACE" w:rsidRDefault="00000000">
      <w:r>
        <w:br w:type="page"/>
      </w:r>
    </w:p>
    <w:p w14:paraId="77649760" w14:textId="77777777" w:rsidR="009B0ACE" w:rsidRDefault="00000000">
      <w:pPr>
        <w:spacing w:before="300" w:after="200"/>
      </w:pPr>
      <w:r>
        <w:rPr>
          <w:rFonts w:ascii="Calibri" w:eastAsia="Calibri" w:hAnsi="Calibri" w:cs="Calibri"/>
          <w:b/>
          <w:bCs/>
          <w:color w:val="E73748"/>
          <w:sz w:val="28"/>
          <w:szCs w:val="28"/>
        </w:rPr>
        <w:lastRenderedPageBreak/>
        <w:t>2. MODUŁY PERSPEKTYWY KONSULTANTA (FRONT)</w:t>
      </w:r>
    </w:p>
    <w:p w14:paraId="6910323D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M1: Dashboard Konsultanta</w:t>
      </w:r>
    </w:p>
    <w:p w14:paraId="2D642B73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Centralny ekran powitalny agregujący najważniejsze informacje dla konsultanta.</w:t>
      </w:r>
    </w:p>
    <w:p w14:paraId="76E393B8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4487"/>
      </w:tblGrid>
      <w:tr w:rsidR="00110420" w14:paraId="111B6C98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6FBD9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86D02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74595AB2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1C78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M1.1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15F3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Wyświetlanie aktualnego statusu kontraktu (aktywny/kończy się/zakończony)</w:t>
            </w:r>
          </w:p>
        </w:tc>
      </w:tr>
      <w:tr w:rsidR="00110420" w14:paraId="4BDC13B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95E0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M1.2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99DB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Countdown do końca kontraktu (dni pozostałe)</w:t>
            </w:r>
          </w:p>
        </w:tc>
      </w:tr>
      <w:tr w:rsidR="00110420" w14:paraId="6FFF097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CD2E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M1.3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2F08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Contract Health Score - wizualizacja (zielony/żółty/czerwony)</w:t>
            </w:r>
          </w:p>
        </w:tc>
      </w:tr>
      <w:tr w:rsidR="00110420" w14:paraId="6678E4F2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ADE4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M1.4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DADD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Saldo punktów lojalnościowych</w:t>
            </w:r>
          </w:p>
        </w:tc>
      </w:tr>
      <w:tr w:rsidR="00110420" w14:paraId="63A63042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3FF0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M1.5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B13E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Aktualny status w programie (Bronze/Silver/Gold/Platinum)</w:t>
            </w:r>
          </w:p>
        </w:tc>
      </w:tr>
      <w:tr w:rsidR="00110420" w14:paraId="22E7008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63C93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M1.6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EC32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Powiadomienia push o zmianach statusu</w:t>
            </w:r>
          </w:p>
        </w:tc>
      </w:tr>
      <w:tr w:rsidR="00110420" w14:paraId="185BC35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AF2E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M1.7</w:t>
            </w:r>
          </w:p>
        </w:tc>
        <w:tc>
          <w:tcPr>
            <w:tcW w:w="4488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5A84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Quick actions: zobacz oferty, dodaj polecenie, pobierz dokument</w:t>
            </w:r>
          </w:p>
        </w:tc>
      </w:tr>
    </w:tbl>
    <w:p w14:paraId="13608332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Źródła danych:</w:t>
      </w:r>
    </w:p>
    <w:p w14:paraId="7895D24D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CRM/ATS (dane kontraktowe) • System punktowy (wewnętrzny) • Moduł Health Score</w:t>
      </w:r>
    </w:p>
    <w:p w14:paraId="26B1DC92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M2: Marketplace Projektów (Internal Job Board)</w:t>
      </w:r>
    </w:p>
    <w:p w14:paraId="1067859D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Kluczowy moduł retencyjny - konsultant widzi pipeline przyszłych projektów, co eliminuje psychologiczny strach przed zakończeniem kontraktu.</w:t>
      </w:r>
    </w:p>
    <w:p w14:paraId="6E7D90D4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4487"/>
      </w:tblGrid>
      <w:tr w:rsidR="00110420" w14:paraId="16B70EBE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A0914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B2C0C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679DB3DC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D46D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M2.1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3B2A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Lista projektów dostępnych teraz (status: OPEN)</w:t>
            </w:r>
          </w:p>
        </w:tc>
      </w:tr>
      <w:tr w:rsidR="00110420" w14:paraId="1A0D7DB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9FB9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M2.2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6266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Lista projektów coming soon (3-6 miesięcy, status: PIPELINE)</w:t>
            </w:r>
          </w:p>
        </w:tc>
      </w:tr>
      <w:tr w:rsidR="00110420" w14:paraId="209C3BA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BED7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M2.3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25D0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Karta projektu: klient (brand lub opis), wymagania, widełki stawek, tryb pracy (remote/hybrid/onsite), lokalizacja</w:t>
            </w:r>
          </w:p>
        </w:tc>
      </w:tr>
      <w:tr w:rsidR="00110420" w14:paraId="7300935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91E0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M2.4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542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Filtrowanie: technologia, stawka, tryb pracy, branża klienta</w:t>
            </w:r>
          </w:p>
        </w:tc>
      </w:tr>
      <w:tr w:rsidR="00110420" w14:paraId="183C499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0464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M2.5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58A2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Matching score - automatyczne dopasowanie projektu do profilu konsultanta (%)</w:t>
            </w:r>
          </w:p>
        </w:tc>
      </w:tr>
      <w:tr w:rsidR="00110420" w14:paraId="348634CE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FBCB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M2.6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754F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Przycisk 'Jestem zainteresowany' - sygnał do Delivery Lead</w:t>
            </w:r>
          </w:p>
        </w:tc>
      </w:tr>
      <w:tr w:rsidR="00110420" w14:paraId="3D7A33C1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49123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M2.7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0BE7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Alert: 'Twój kontrakt kończy się za 90 dni - zobacz dopasowane projekty'</w:t>
            </w:r>
          </w:p>
        </w:tc>
      </w:tr>
      <w:tr w:rsidR="00110420" w14:paraId="36F1ADB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0441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lastRenderedPageBreak/>
              <w:t>M2.8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1D90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Historia aplikacji (na które projekty aplikowałem)</w:t>
            </w:r>
          </w:p>
        </w:tc>
      </w:tr>
      <w:tr w:rsidR="00110420" w14:paraId="7C85CBFF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1F76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M2.9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C436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Projekty 'Exclusive' - dostępne tylko dla statusu Gold/Platinum</w:t>
            </w:r>
          </w:p>
        </w:tc>
      </w:tr>
      <w:tr w:rsidR="00110420" w14:paraId="58F0B1EA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FE0D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M2.10</w:t>
            </w:r>
          </w:p>
        </w:tc>
        <w:tc>
          <w:tcPr>
            <w:tcW w:w="4487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22F1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Powiadomienie push o nowym projekcie dopasowanym do profilu</w:t>
            </w:r>
          </w:p>
        </w:tc>
      </w:tr>
    </w:tbl>
    <w:p w14:paraId="24E6451C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Logika biznesowa:</w:t>
      </w:r>
    </w:p>
    <w:p w14:paraId="30F61A9D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Projekty widoczne dla konsultantów dopiero po akceptacji przez Delivery Lead</w:t>
      </w:r>
    </w:p>
    <w:p w14:paraId="6C67D1E6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Stawki pokazywane jako widełki (np. 120-150 PLN/h), nie konkretna wartość</w:t>
      </w:r>
    </w:p>
    <w:p w14:paraId="65EC4EBA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Klient może być anonimowy ('Duży bank z sektora finansowego') lub branded</w:t>
      </w:r>
    </w:p>
    <w:p w14:paraId="35951E3F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Matching score kalkulowany na podstawie: technologie (50%), doświadczenie (30%), preferencje lokalizacyjne (20%)</w:t>
      </w:r>
    </w:p>
    <w:p w14:paraId="34B62736" w14:textId="77777777" w:rsidR="009B0ACE" w:rsidRDefault="00000000">
      <w:r>
        <w:br w:type="page"/>
      </w:r>
    </w:p>
    <w:p w14:paraId="4B0B11AB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lastRenderedPageBreak/>
        <w:t>M3: Program Lojalnościowy</w:t>
      </w:r>
    </w:p>
    <w:p w14:paraId="02B198CE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System punktowy budujący przywiązanie do B2B.net poprzez pozytywne bodźce behawioralne. TYLKO nagrody, zero kar.</w:t>
      </w:r>
    </w:p>
    <w:p w14:paraId="723FB57B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Struktura punktów: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7"/>
        <w:gridCol w:w="1994"/>
        <w:gridCol w:w="4483"/>
      </w:tblGrid>
      <w:tr w:rsidR="009B0ACE" w14:paraId="204F5BFA" w14:textId="77777777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214B1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AKTYWNOŚĆ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08F02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PUNKTY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B2F38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WARUNKI</w:t>
            </w:r>
          </w:p>
        </w:tc>
      </w:tr>
      <w:tr w:rsidR="009B0ACE" w14:paraId="4A98A434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83720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Każdy pełny miesiąc na projekcie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78E08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+100 pkt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0A6B7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Automatycznie po rozliczeniu miesiąca</w:t>
            </w:r>
          </w:p>
        </w:tc>
      </w:tr>
      <w:tr w:rsidR="009B0ACE" w14:paraId="4B04BDDF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0440B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Przedłużenie kontraktu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F3C14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+500 pkt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09C30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 podpisaniu aneksu/nowej umowy</w:t>
            </w:r>
          </w:p>
        </w:tc>
      </w:tr>
      <w:tr w:rsidR="009B0ACE" w14:paraId="40958922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4E516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Polecenie konsultanta (hired)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54500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+1000 pkt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4D9D6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 rozpoczęciu projektu przez poleconego</w:t>
            </w:r>
          </w:p>
        </w:tc>
      </w:tr>
      <w:tr w:rsidR="009B0ACE" w14:paraId="05B4EACC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AC581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Płynne przejście na kolejny projekt B2B.net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7C2C6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+300 pkt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808C3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Brak przerwy &gt;14 dni między projektami</w:t>
            </w:r>
          </w:p>
        </w:tc>
      </w:tr>
      <w:tr w:rsidR="009B0ACE" w14:paraId="197E9E87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0524E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Pozytywny feedback od klienta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224AD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+200 pkt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5A603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Ocena 4.5+ w kwartalnej ewaluacji</w:t>
            </w:r>
          </w:p>
        </w:tc>
      </w:tr>
      <w:tr w:rsidR="009B0ACE" w14:paraId="43EEEEB7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467ED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Ukończenie certyfikacji/kursu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3C27E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+150 pkt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93BFB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Certyfikat przesłany do HR</w:t>
            </w:r>
          </w:p>
        </w:tc>
      </w:tr>
      <w:tr w:rsidR="009B0ACE" w14:paraId="098C1A67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4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8B6DA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Rocznica współpracy (każdy rok)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B90E7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+500 pkt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2C13D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Automatycznie w dniu rocznicy</w:t>
            </w:r>
          </w:p>
        </w:tc>
      </w:tr>
    </w:tbl>
    <w:p w14:paraId="5EDDA1B4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Statusy konsultanta: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2493"/>
        <w:gridCol w:w="5977"/>
      </w:tblGrid>
      <w:tr w:rsidR="009B0ACE" w14:paraId="2EB2DCC1" w14:textId="77777777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170BF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F40FB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PRÓG PUNKTÓW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C9EBE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PRZYWILEJE</w:t>
            </w:r>
          </w:p>
        </w:tc>
      </w:tr>
      <w:tr w:rsidR="009B0ACE" w14:paraId="51B11FDF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BAA03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Bronze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5FD06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0 - 999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8910B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Dostęp do marketplace, podstawowe funkcje</w:t>
            </w:r>
          </w:p>
        </w:tc>
      </w:tr>
      <w:tr w:rsidR="009B0ACE" w14:paraId="36127893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095CA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Silver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F2FD0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1000 - 2999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A18B4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 Pierwszeństwo w kolejce na popularne projekty</w:t>
            </w:r>
          </w:p>
        </w:tc>
      </w:tr>
      <w:tr w:rsidR="009B0ACE" w14:paraId="55EB3BFC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8684E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Gold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66E6C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3000 - 5999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70944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 Dostęp do projektów Exclusive, + 5% do negocjacji stawki</w:t>
            </w:r>
          </w:p>
        </w:tc>
      </w:tr>
      <w:tr w:rsidR="009B0ACE" w14:paraId="6F5598DE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91AEC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Platinum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AAA8D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6000+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D9C65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+ Skrócone procesy formalne, + dedykowany Account Manager, + zaproszenia na eventy</w:t>
            </w:r>
          </w:p>
        </w:tc>
      </w:tr>
    </w:tbl>
    <w:p w14:paraId="41D6761B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 modułu: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4484"/>
      </w:tblGrid>
      <w:tr w:rsidR="00110420" w14:paraId="53AC8BA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DD494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12BC1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57781CB8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6F49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M3.1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30E8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Wyświetlanie salda punktów i historii transakcji</w:t>
            </w:r>
          </w:p>
        </w:tc>
      </w:tr>
      <w:tr w:rsidR="00110420" w14:paraId="619A2D6A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29E0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M3.2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45A1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Wyświetlanie aktualnego statusu i progresu do następnego</w:t>
            </w:r>
          </w:p>
        </w:tc>
      </w:tr>
      <w:tr w:rsidR="00110420" w14:paraId="53D08A2C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D19C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M3.3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2616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Lista przywilejów dostępnych na danym poziomie</w:t>
            </w:r>
          </w:p>
        </w:tc>
      </w:tr>
      <w:tr w:rsidR="00110420" w14:paraId="10DC991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1980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M3.4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1D01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Powiadomienie o zdobyciu punktów / awansie statusu</w:t>
            </w:r>
          </w:p>
        </w:tc>
      </w:tr>
      <w:tr w:rsidR="00110420" w14:paraId="4D5BD4E4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977F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M3.5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D426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Katalog nagród do wymiany punktów (opcjonalnie)</w:t>
            </w:r>
          </w:p>
        </w:tc>
      </w:tr>
    </w:tbl>
    <w:p w14:paraId="57031C72" w14:textId="77777777" w:rsidR="009B0ACE" w:rsidRDefault="00000000">
      <w:r>
        <w:br w:type="page"/>
      </w:r>
    </w:p>
    <w:p w14:paraId="2D6737A7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lastRenderedPageBreak/>
        <w:t>M4: Contract Health Score</w:t>
      </w:r>
    </w:p>
    <w:p w14:paraId="6BCECD45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Kluczowy moduł prewencyjny - konsultant widzi 'zdrowie' swojego kontraktu, co pozwala reagować na problemy zanim dojdzie do eskalacji.</w:t>
      </w:r>
    </w:p>
    <w:p w14:paraId="77A5B478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Komponenty Health Score: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1"/>
        <w:gridCol w:w="1994"/>
        <w:gridCol w:w="5479"/>
      </w:tblGrid>
      <w:tr w:rsidR="009B0ACE" w14:paraId="7BCD6605" w14:textId="77777777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3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948B8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KOMPONENT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78EB1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WAGA</w:t>
            </w:r>
          </w:p>
        </w:tc>
        <w:tc>
          <w:tcPr>
            <w:tcW w:w="5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9D997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ŹRÓDŁO DANYCH</w:t>
            </w:r>
          </w:p>
        </w:tc>
      </w:tr>
      <w:tr w:rsidR="009B0ACE" w14:paraId="047DB0FC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3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FCACD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Feedback od klienta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3CD0C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40%</w:t>
            </w:r>
          </w:p>
        </w:tc>
        <w:tc>
          <w:tcPr>
            <w:tcW w:w="5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E3681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Kwartalne ewaluacje, bieżące sygnały od Account Managera</w:t>
            </w:r>
          </w:p>
        </w:tc>
      </w:tr>
      <w:tr w:rsidR="009B0ACE" w14:paraId="246D9320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3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B56E9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Stabilność kontraktu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21EA9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30%</w:t>
            </w:r>
          </w:p>
        </w:tc>
        <w:tc>
          <w:tcPr>
            <w:tcW w:w="5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EF018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Dni do końca zamówienia, historia przedłużeń</w:t>
            </w:r>
          </w:p>
        </w:tc>
      </w:tr>
      <w:tr w:rsidR="009B0ACE" w14:paraId="2630406F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3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1F444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Engagement konsultanta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48CAD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20%</w:t>
            </w:r>
          </w:p>
        </w:tc>
        <w:tc>
          <w:tcPr>
            <w:tcW w:w="5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596A0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Aktywność w aplikacji, uczestnictwo w szkoleniach</w:t>
            </w:r>
          </w:p>
        </w:tc>
      </w:tr>
      <w:tr w:rsidR="009B0ACE" w14:paraId="121CBE02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3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4A0AB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Red flags</w:t>
            </w:r>
          </w:p>
        </w:tc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47865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10%</w:t>
            </w:r>
          </w:p>
        </w:tc>
        <w:tc>
          <w:tcPr>
            <w:tcW w:w="5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B7DF9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Eskalacje, skargi, absencje (z systemu klienta jeśli dostępne)</w:t>
            </w:r>
          </w:p>
        </w:tc>
      </w:tr>
    </w:tbl>
    <w:p w14:paraId="73B212A3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Wizualizacja dla konsultanta: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2493"/>
        <w:gridCol w:w="5978"/>
      </w:tblGrid>
      <w:tr w:rsidR="009B0ACE" w14:paraId="41F5F268" w14:textId="77777777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1F519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4798D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KOLOR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7FC46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KOMUNIKAT</w:t>
            </w:r>
          </w:p>
        </w:tc>
      </w:tr>
      <w:tr w:rsidR="009B0ACE" w14:paraId="268D8D92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1459E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80-100%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87CF7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🟢 Zielony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EDCE8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'Twój kontrakt jest stabilny. Klient jest zadowolony ze współpracy.'</w:t>
            </w:r>
          </w:p>
        </w:tc>
      </w:tr>
      <w:tr w:rsidR="009B0ACE" w14:paraId="78BB3DFA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CD2FD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50-79%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6E930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🟡 Żółty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C8F89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'Zwróć uwagę na feedback. Skontaktuj się z Account Managerem.'</w:t>
            </w:r>
          </w:p>
        </w:tc>
      </w:tr>
      <w:tr w:rsidR="009B0ACE" w14:paraId="4011149F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59D66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0-49%</w:t>
            </w:r>
          </w:p>
        </w:tc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43C62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🔴 Czerwony</w:t>
            </w:r>
          </w:p>
        </w:tc>
        <w:tc>
          <w:tcPr>
            <w:tcW w:w="60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D256A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'Twój kontrakt wymaga uwagi. Umów się na rozmowę z Consultant Success.'</w:t>
            </w:r>
          </w:p>
        </w:tc>
      </w:tr>
    </w:tbl>
    <w:p w14:paraId="6A50EBAE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 modułu: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4484"/>
      </w:tblGrid>
      <w:tr w:rsidR="00110420" w14:paraId="623C0D4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E5CD6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C436D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36ABBC4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612F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M4.1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2741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Wyświetlanie zagregowanego Health Score (0-100%)</w:t>
            </w:r>
          </w:p>
        </w:tc>
      </w:tr>
      <w:tr w:rsidR="00110420" w14:paraId="7C391F4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1A35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M4.2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3198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Breakdown na komponenty (feedback, stabilność, engagement)</w:t>
            </w:r>
          </w:p>
        </w:tc>
      </w:tr>
      <w:tr w:rsidR="00110420" w14:paraId="69D3B504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2888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M4.3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D0AF2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Historia zmian score'a (wykres ostatnie 6 miesięcy)</w:t>
            </w:r>
          </w:p>
        </w:tc>
      </w:tr>
      <w:tr w:rsidR="00110420" w14:paraId="057EDF0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43C7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M4.4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044D2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Rekomendacje: 'Co możesz zrobić, aby poprawić score'</w:t>
            </w:r>
          </w:p>
        </w:tc>
      </w:tr>
      <w:tr w:rsidR="00110420" w14:paraId="3B0E801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F4A0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M4.5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83F7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Alert push przy spadku score'a o &gt;15% m/m</w:t>
            </w:r>
          </w:p>
        </w:tc>
      </w:tr>
      <w:tr w:rsidR="00110420" w14:paraId="041BEF41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487B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M4.6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7220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Przycisk 'Umów rozmowę z Consultant Success Manager'</w:t>
            </w:r>
          </w:p>
        </w:tc>
      </w:tr>
    </w:tbl>
    <w:p w14:paraId="3EB63242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i/>
          <w:iCs/>
          <w:color w:val="3A3A3A"/>
          <w:sz w:val="22"/>
          <w:szCs w:val="22"/>
        </w:rPr>
        <w:t>UWAGA: Health Score NIE jest karą. Konsultant widzi tylko swój własny score, nie ranking vs inni. Celem jest self-awareness, nie straszenie.</w:t>
      </w:r>
    </w:p>
    <w:p w14:paraId="6EB2D6CE" w14:textId="77777777" w:rsidR="009B0ACE" w:rsidRDefault="00000000">
      <w:r>
        <w:br w:type="page"/>
      </w:r>
    </w:p>
    <w:p w14:paraId="5DE78BF4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lastRenderedPageBreak/>
        <w:t>M5: Skill Development (Rozwój kompetencji)</w:t>
      </w:r>
    </w:p>
    <w:p w14:paraId="16F0F7DE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Moduł budujący wartość konsultanta dla klienta i B2B.net, co przekłada się na dłuższy tenure i mniejsze ryzyko 'niskiej wydajności'.</w:t>
      </w:r>
    </w:p>
    <w:p w14:paraId="3561CC87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4485"/>
      </w:tblGrid>
      <w:tr w:rsidR="00110420" w14:paraId="3F269DEA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01876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6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709EF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58C3B90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4E2E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M5.1</w:t>
            </w:r>
          </w:p>
        </w:tc>
        <w:tc>
          <w:tcPr>
            <w:tcW w:w="4486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1FAB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Profil umiejętności konsultanta (technologie, certyfikaty, lata doświadczenia)</w:t>
            </w:r>
          </w:p>
        </w:tc>
      </w:tr>
      <w:tr w:rsidR="00110420" w14:paraId="28C17C9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D907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M5.2</w:t>
            </w:r>
          </w:p>
        </w:tc>
        <w:tc>
          <w:tcPr>
            <w:tcW w:w="4486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C000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Skill Gap Alert: 'Na Twoim projekcie wdrażany jest Kubernetes - brakuje Ci certyfikatu CKA'</w:t>
            </w:r>
          </w:p>
        </w:tc>
      </w:tr>
      <w:tr w:rsidR="00110420" w14:paraId="6BD55302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55997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M5.3</w:t>
            </w:r>
          </w:p>
        </w:tc>
        <w:tc>
          <w:tcPr>
            <w:tcW w:w="4486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ABA3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Rekomendacje kursów/certyfikacji dopasowane do projektu</w:t>
            </w:r>
          </w:p>
        </w:tc>
      </w:tr>
      <w:tr w:rsidR="00110420" w14:paraId="4B71CE2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E6FE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M5.4</w:t>
            </w:r>
          </w:p>
        </w:tc>
        <w:tc>
          <w:tcPr>
            <w:tcW w:w="4486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70A3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Upload certyfikatów do profilu (+ punkty lojalnościowe)</w:t>
            </w:r>
          </w:p>
        </w:tc>
      </w:tr>
      <w:tr w:rsidR="00110420" w14:paraId="60C3828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DE20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M5.5</w:t>
            </w:r>
          </w:p>
        </w:tc>
        <w:tc>
          <w:tcPr>
            <w:tcW w:w="4486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584D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Market Insights: 'Stawki dla Java Developerów z AWS wzrosły o 15% w Q4'</w:t>
            </w:r>
          </w:p>
        </w:tc>
      </w:tr>
      <w:tr w:rsidR="00110420" w14:paraId="4C28C2E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2B40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M5.6</w:t>
            </w:r>
          </w:p>
        </w:tc>
        <w:tc>
          <w:tcPr>
            <w:tcW w:w="4486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0711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Rate Benchmark: 'Twoja stawka vs rynek' (opcjonalne, kontrowersyjne)</w:t>
            </w:r>
          </w:p>
        </w:tc>
      </w:tr>
    </w:tbl>
    <w:p w14:paraId="52C9B391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M6: Program Poleceń (Referral)</w:t>
      </w:r>
    </w:p>
    <w:p w14:paraId="1EFA9C7E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Najtańszy kanał sourcingu - konsultanci polecają znajomych w zamian za punkty/bonus.</w:t>
      </w:r>
    </w:p>
    <w:p w14:paraId="0F5246F2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4484"/>
      </w:tblGrid>
      <w:tr w:rsidR="00110420" w14:paraId="7A7C43FD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87C17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D77D0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22A8065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93A2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M6.1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8733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Formularz polecenia: imię, email, telefon, specjalizacja, link do LinkedIn</w:t>
            </w:r>
          </w:p>
        </w:tc>
      </w:tr>
      <w:tr w:rsidR="00110420" w14:paraId="65D8A5EF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6E50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M6.2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E3A8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Tracking statusu polecenia: wysłane → w rekrutacji → hired → na projekcie</w:t>
            </w:r>
          </w:p>
        </w:tc>
      </w:tr>
      <w:tr w:rsidR="00110420" w14:paraId="3980C909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2B477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M6.3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20FA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Historia poleceń z informacją o naliczonych punktach</w:t>
            </w:r>
          </w:p>
        </w:tc>
      </w:tr>
      <w:tr w:rsidR="00110420" w14:paraId="6B54FDE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D41A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M6.4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B6B6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Share link: personalizowany link do udostępnienia w social media</w:t>
            </w:r>
          </w:p>
        </w:tc>
      </w:tr>
      <w:tr w:rsidR="00110420" w14:paraId="6F3D34EF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D396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M6.5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0A80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Leaderboard poleceń (Top 10 polecających w miesiącu)</w:t>
            </w:r>
          </w:p>
        </w:tc>
      </w:tr>
    </w:tbl>
    <w:p w14:paraId="1A24AE5C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Logika biznesowa:</w:t>
      </w:r>
    </w:p>
    <w:p w14:paraId="0C41CABA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Punkty naliczane po starcie projektu przez poleconego (nie po rekrutacji)</w:t>
      </w:r>
    </w:p>
    <w:p w14:paraId="530B0A1A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Bonus pieniężny (opcjonalnie): 2000-5000 PLN po 3 miesiącach poleconego na projekcie</w:t>
      </w:r>
    </w:p>
    <w:p w14:paraId="698F5AB0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• Deduplikacja: jeśli kandydat już jest w bazie, polecenie nie jest liczone</w:t>
      </w:r>
    </w:p>
    <w:p w14:paraId="3B970A93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M7: Dokumenty i Finanse</w:t>
      </w:r>
    </w:p>
    <w:p w14:paraId="2C7D6DD0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Jedno źródło prawdy - wszystkie dokumenty i informacje finansowe w jednym miejscu.</w:t>
      </w:r>
    </w:p>
    <w:p w14:paraId="62EA982E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4484"/>
      </w:tblGrid>
      <w:tr w:rsidR="00110420" w14:paraId="49D53E29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D11D3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1A1D2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3DEFCA0F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E8D2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M7.1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8E37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Aktualny kontrakt (PDF do pobrania)</w:t>
            </w:r>
          </w:p>
        </w:tc>
      </w:tr>
      <w:tr w:rsidR="00110420" w14:paraId="3003939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76962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M7.2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2967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Historia kontraktów (archiwum)</w:t>
            </w:r>
          </w:p>
        </w:tc>
      </w:tr>
      <w:tr w:rsidR="00110420" w14:paraId="2696AFD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1AAE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M7.3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6F9E0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Warunki finansowe: stawka, terminy płatności</w:t>
            </w:r>
          </w:p>
        </w:tc>
      </w:tr>
      <w:tr w:rsidR="00110420" w14:paraId="5D3DB817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53447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M7.4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3922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Status płatności: oczekuje / w realizacji / zapłacone</w:t>
            </w:r>
          </w:p>
        </w:tc>
      </w:tr>
      <w:tr w:rsidR="00110420" w14:paraId="2821D81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C210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M7.5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CA94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Historia faktur (wystawionych przez konsultanta)</w:t>
            </w:r>
          </w:p>
        </w:tc>
      </w:tr>
      <w:tr w:rsidR="00110420" w14:paraId="134834BD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AA40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M7.6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3353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Generowanie raportu rocznego (dla księgowości)</w:t>
            </w:r>
          </w:p>
        </w:tc>
      </w:tr>
      <w:tr w:rsidR="00110420" w14:paraId="6AD2CD4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C045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M7.7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0251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Dane do fakturowania (NIP B2B.net, adres, etc.)</w:t>
            </w:r>
          </w:p>
        </w:tc>
      </w:tr>
    </w:tbl>
    <w:p w14:paraId="3418FD6C" w14:textId="77777777" w:rsidR="009B0ACE" w:rsidRDefault="00000000">
      <w:r>
        <w:br w:type="page"/>
      </w:r>
    </w:p>
    <w:p w14:paraId="3DBEE4BD" w14:textId="77777777" w:rsidR="009B0ACE" w:rsidRDefault="00000000">
      <w:pPr>
        <w:spacing w:before="300" w:after="200"/>
      </w:pPr>
      <w:r>
        <w:rPr>
          <w:rFonts w:ascii="Calibri" w:eastAsia="Calibri" w:hAnsi="Calibri" w:cs="Calibri"/>
          <w:b/>
          <w:bCs/>
          <w:color w:val="E73748"/>
          <w:sz w:val="28"/>
          <w:szCs w:val="28"/>
        </w:rPr>
        <w:lastRenderedPageBreak/>
        <w:t>3. MODUŁY PERSPEKTYWY ZARZĄDCZEJ (BACK)</w:t>
      </w:r>
    </w:p>
    <w:p w14:paraId="5F59EB98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i/>
          <w:iCs/>
          <w:color w:val="3A3A3A"/>
          <w:sz w:val="22"/>
          <w:szCs w:val="22"/>
        </w:rPr>
        <w:t>Panel zarządczy dostępny dla: Zarządu, Delivery Leadów, Account Managerów, Consultant Success Managerów.</w:t>
      </w:r>
    </w:p>
    <w:p w14:paraId="17B00442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M8: Dashboard Zarządczy (Risk Monitor)</w:t>
      </w:r>
    </w:p>
    <w:p w14:paraId="56A009E1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Centralny panel wczesnego ostrzegania o ryzykach zejść i problemach z konsultantami.</w:t>
      </w:r>
    </w:p>
    <w:p w14:paraId="54A7D587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4484"/>
      </w:tblGrid>
      <w:tr w:rsidR="00110420" w14:paraId="6464425C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77F3F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9809C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7907E64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2A35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M8.1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0BA8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Lista konsultantów 'Red Flag' (Health Score &lt;50%)</w:t>
            </w:r>
          </w:p>
        </w:tc>
      </w:tr>
      <w:tr w:rsidR="00110420" w14:paraId="554E4C0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A161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M8.2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F857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Kontrakty kończące się w 30/60/90 dni (z matching statusem)</w:t>
            </w:r>
          </w:p>
        </w:tc>
      </w:tr>
      <w:tr w:rsidR="00110420" w14:paraId="5B51711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813D2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M8.3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D204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Ryzyko zejścia (%) per konsultant - algorytm predykcyjny</w:t>
            </w:r>
          </w:p>
        </w:tc>
      </w:tr>
      <w:tr w:rsidR="00110420" w14:paraId="7F64392F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C1DE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M8.4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4EB2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Pipeline przyszłych projektów vs dostępni konsultanci (gap analysis)</w:t>
            </w:r>
          </w:p>
        </w:tc>
      </w:tr>
      <w:tr w:rsidR="00110420" w14:paraId="35EA9E5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2C9A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M8.5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E854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Koszt odejść (utracona marża w PLN) - YTD i projekcja</w:t>
            </w:r>
          </w:p>
        </w:tc>
      </w:tr>
      <w:tr w:rsidR="00110420" w14:paraId="6A574B9E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902C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M8.6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CC60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Heatmapa rotacji: per klient, per technologia, per rekruter</w:t>
            </w:r>
          </w:p>
        </w:tc>
      </w:tr>
      <w:tr w:rsidR="00110420" w14:paraId="585F674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CCDC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M8.7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036C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Alert email/Slack przy nowym Red Flag</w:t>
            </w:r>
          </w:p>
        </w:tc>
      </w:tr>
    </w:tbl>
    <w:p w14:paraId="5F09A9C4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M9: Pipeline Matching Engine</w:t>
      </w:r>
    </w:p>
    <w:p w14:paraId="10C2AD08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System automatycznego dopasowywania konsultantów do projektów.</w:t>
      </w:r>
    </w:p>
    <w:p w14:paraId="1774C3CE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4484"/>
      </w:tblGrid>
      <w:tr w:rsidR="00110420" w14:paraId="13F69E7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87CA4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2925F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346CC721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A863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M9.1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BA1E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Auto-matching: gdy kontrakt kończy się za X dni, system sugeruje projekty</w:t>
            </w:r>
          </w:p>
        </w:tc>
      </w:tr>
      <w:tr w:rsidR="00110420" w14:paraId="465A6FC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01793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M9.2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5536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Reverse matching: dla nowego projektu, lista dopasowanych konsultantów</w:t>
            </w:r>
          </w:p>
        </w:tc>
      </w:tr>
      <w:tr w:rsidR="00110420" w14:paraId="4C3A3A07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EA77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M9.3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B645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Matching score breakdown: technologie, seniority, lokalizacja, stawka</w:t>
            </w:r>
          </w:p>
        </w:tc>
      </w:tr>
      <w:tr w:rsidR="00110420" w14:paraId="5872492A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0F9B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M9.4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956F3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Bulk assign: masowe przypisanie konsultantów do projektu</w:t>
            </w:r>
          </w:p>
        </w:tc>
      </w:tr>
      <w:tr w:rsidR="00110420" w14:paraId="41D4F41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DA95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M9.5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6940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Integration z ATS: push kandydata do procesu rekrutacyjnego</w:t>
            </w:r>
          </w:p>
        </w:tc>
      </w:tr>
    </w:tbl>
    <w:p w14:paraId="21A3D26C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M10: Consultant Success Hub</w:t>
      </w:r>
    </w:p>
    <w:p w14:paraId="24CC2D16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Narzędzie dla funkcji Consultant Success Manager - proaktywne zarządzanie relacją z konsultantem.</w:t>
      </w:r>
    </w:p>
    <w:p w14:paraId="47EA7324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4484"/>
      </w:tblGrid>
      <w:tr w:rsidR="00110420" w14:paraId="62EA5007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0173B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7DC2C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1145882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D06D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M10.1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D42D2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Formularz feedbacku od klienta (po rozmowie z Account Managerem)</w:t>
            </w:r>
          </w:p>
        </w:tc>
      </w:tr>
      <w:tr w:rsidR="00110420" w14:paraId="79813C8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3F7E3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M10.2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9852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Historia check-inów z konsultantem (notatki z rozmów)</w:t>
            </w:r>
          </w:p>
        </w:tc>
      </w:tr>
      <w:tr w:rsidR="00110420" w14:paraId="1B13C127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BE39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M10.3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68B3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Rekomendacje rozwojowe do przekazania konsultantowi</w:t>
            </w:r>
          </w:p>
        </w:tc>
      </w:tr>
      <w:tr w:rsidR="00110420" w14:paraId="154F899C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5B87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M10.4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2185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Scheduler: automatyczne przypomnienia o check-inach (co 30 dni)</w:t>
            </w:r>
          </w:p>
        </w:tc>
      </w:tr>
      <w:tr w:rsidR="00110420" w14:paraId="343D74B8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EE34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M10.5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1670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Pulse Survey: micro-ankieta satysfakcji (3 pytania, 15 sekund)</w:t>
            </w:r>
          </w:p>
        </w:tc>
      </w:tr>
      <w:tr w:rsidR="00110420" w14:paraId="17FEE825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1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3738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M10.6</w:t>
            </w:r>
          </w:p>
        </w:tc>
        <w:tc>
          <w:tcPr>
            <w:tcW w:w="44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42D8D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Agregacja wyników Pulse Survey per klient, per projekt</w:t>
            </w:r>
          </w:p>
        </w:tc>
      </w:tr>
    </w:tbl>
    <w:p w14:paraId="291C9408" w14:textId="77777777" w:rsidR="009B0ACE" w:rsidRDefault="00000000">
      <w:r>
        <w:br w:type="page"/>
      </w:r>
    </w:p>
    <w:p w14:paraId="4867C069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lastRenderedPageBreak/>
        <w:t>M11: Analytics &amp; Reporting</w:t>
      </w:r>
    </w:p>
    <w:p w14:paraId="4F4D5D40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Moduł raportowy dla Zarządu i Rady Nadzorczej.</w:t>
      </w:r>
    </w:p>
    <w:p w14:paraId="65FF49AC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Raporty: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4488"/>
        <w:gridCol w:w="3487"/>
      </w:tblGrid>
      <w:tr w:rsidR="009B0ACE" w14:paraId="6F20F939" w14:textId="77777777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A3B22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B2D31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RAPORT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18039" w14:textId="77777777" w:rsidR="009B0AC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CZĘSTOTLIWOŚĆ</w:t>
            </w:r>
          </w:p>
        </w:tc>
      </w:tr>
      <w:tr w:rsidR="009B0ACE" w14:paraId="330B6AD7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5FCD6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M11.1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1849F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Average Contract Duration (trend m/m)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98A4D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Miesięczny</w:t>
            </w:r>
          </w:p>
        </w:tc>
      </w:tr>
      <w:tr w:rsidR="009B0ACE" w14:paraId="3F6460AC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E7CCA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M11.2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6448C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Early Exit Rate (zarządzalne vs niezarządzalne)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08FAB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Miesięczny</w:t>
            </w:r>
          </w:p>
        </w:tc>
      </w:tr>
      <w:tr w:rsidR="009B0ACE" w14:paraId="33DE4505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D8041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M11.3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DE1F4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Internal Placement Rate (%)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22B27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Miesięczny</w:t>
            </w:r>
          </w:p>
        </w:tc>
      </w:tr>
      <w:tr w:rsidR="009B0ACE" w14:paraId="1828842A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AA016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M11.4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C72F0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Health Score distribution (% zielonych/żółtych/czerwonych)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24045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Tygodniowy</w:t>
            </w:r>
          </w:p>
        </w:tc>
      </w:tr>
      <w:tr w:rsidR="009B0ACE" w14:paraId="173E09F0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304B7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M11.5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8C8EF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Referral effectiveness (polecenia → hired → retained 6msc)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1343F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Kwartalny</w:t>
            </w:r>
          </w:p>
        </w:tc>
      </w:tr>
      <w:tr w:rsidR="009B0ACE" w14:paraId="0CA83873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006BE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M11.6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F7698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Cost of churn (utracona marża YTD)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5A1AD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Miesięczny</w:t>
            </w:r>
          </w:p>
        </w:tc>
      </w:tr>
      <w:tr w:rsidR="009B0ACE" w14:paraId="14B1300A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A5C02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M11.7</w:t>
            </w:r>
          </w:p>
        </w:tc>
        <w:tc>
          <w:tcPr>
            <w:tcW w:w="4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89676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Engagement metrics (MAU, DAU, feature adoption)</w:t>
            </w:r>
          </w:p>
        </w:tc>
        <w:tc>
          <w:tcPr>
            <w:tcW w:w="3500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10FA0" w14:textId="77777777" w:rsidR="009B0ACE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Tygodniowy</w:t>
            </w:r>
          </w:p>
        </w:tc>
      </w:tr>
    </w:tbl>
    <w:p w14:paraId="6C8CAAF9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M12: Monetyzacja Internalizacji (Right to Hire)</w:t>
      </w:r>
    </w:p>
    <w:p w14:paraId="6B880D43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Tracking i monetyzacja przypadków przejęcia konsultanta przez klienta na etat.</w:t>
      </w:r>
    </w:p>
    <w:p w14:paraId="5D71B874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2"/>
        <w:gridCol w:w="4483"/>
      </w:tblGrid>
      <w:tr w:rsidR="00110420" w14:paraId="1D11ADC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E1061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75C11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3541D9B0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439E7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M12.1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E3CD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Wykrywanie sygnałów internalizacji (feedback od konsultanta, wzorce)</w:t>
            </w:r>
          </w:p>
        </w:tc>
      </w:tr>
      <w:tr w:rsidR="00110420" w14:paraId="382A686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906F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M12.2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DC76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Kalkulator opłaty Right to Hire (2-3 pensje)</w:t>
            </w:r>
          </w:p>
        </w:tc>
      </w:tr>
      <w:tr w:rsidR="00110420" w14:paraId="719F8CB9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3F1C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M12.3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F98F8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Workflow: alert → negocjacja → faktura → rozliczenie</w:t>
            </w:r>
          </w:p>
        </w:tc>
      </w:tr>
      <w:tr w:rsidR="00110420" w14:paraId="0BD7AC0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69C9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M12.4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2A27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Raport: przychody z internalizacji YTD</w:t>
            </w:r>
          </w:p>
        </w:tc>
      </w:tr>
    </w:tbl>
    <w:p w14:paraId="6BEE9C0B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M13: Alumni Management</w:t>
      </w:r>
    </w:p>
    <w:p w14:paraId="3BE55199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Utrzymanie relacji z byłymi konsultantami - potencjalne źródło powrotów i poleceń.</w:t>
      </w:r>
    </w:p>
    <w:p w14:paraId="6778414E" w14:textId="77777777" w:rsidR="009B0ACE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E73748"/>
          <w:sz w:val="22"/>
          <w:szCs w:val="22"/>
        </w:rPr>
        <w:t>Funkcjonalności:</w:t>
      </w:r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2"/>
        <w:gridCol w:w="4483"/>
      </w:tblGrid>
      <w:tr w:rsidR="00110420" w14:paraId="4E1F425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E4EAA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C96DE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</w:tr>
      <w:tr w:rsidR="00110420" w14:paraId="18D5419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0C0E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M13.1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5015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Alumni database: byli konsultanci z historią współpracy</w:t>
            </w:r>
          </w:p>
        </w:tc>
      </w:tr>
      <w:tr w:rsidR="00110420" w14:paraId="48442A0E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16F2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M13.2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31C3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Alumni app access: ograniczony dostęp do marketplace</w:t>
            </w:r>
          </w:p>
        </w:tc>
      </w:tr>
      <w:tr w:rsidR="00110420" w14:paraId="1AF8C4D2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E382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M13.3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CD436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Re-engagement campaigns: 'Wracaj do B2B.net'</w:t>
            </w:r>
          </w:p>
        </w:tc>
      </w:tr>
      <w:tr w:rsidR="00110420" w14:paraId="0EF7F67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492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375F1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lastRenderedPageBreak/>
              <w:t>M13.4</w:t>
            </w:r>
          </w:p>
        </w:tc>
        <w:tc>
          <w:tcPr>
            <w:tcW w:w="4484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08D99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Alumni referrals: punkty za polecenia nawet po odejściu</w:t>
            </w:r>
          </w:p>
        </w:tc>
      </w:tr>
    </w:tbl>
    <w:p w14:paraId="59B65EEF" w14:textId="77777777" w:rsidR="009B0ACE" w:rsidRDefault="00000000">
      <w:r>
        <w:br w:type="page"/>
      </w:r>
    </w:p>
    <w:p w14:paraId="4464E9C4" w14:textId="77777777" w:rsidR="009B0ACE" w:rsidRDefault="00000000">
      <w:pPr>
        <w:spacing w:before="300" w:after="200"/>
      </w:pPr>
      <w:r>
        <w:rPr>
          <w:rFonts w:ascii="Calibri" w:eastAsia="Calibri" w:hAnsi="Calibri" w:cs="Calibri"/>
          <w:b/>
          <w:bCs/>
          <w:color w:val="E73748"/>
          <w:sz w:val="28"/>
          <w:szCs w:val="28"/>
        </w:rPr>
        <w:lastRenderedPageBreak/>
        <w:t>4. INTEGRACJE I INFRASTRUKTURA</w:t>
      </w:r>
    </w:p>
    <w:p w14:paraId="6E68D01A" w14:textId="77777777" w:rsidR="009B0ACE" w:rsidRDefault="00000000">
      <w:pPr>
        <w:spacing w:before="240" w:after="140"/>
      </w:pPr>
      <w:r>
        <w:rPr>
          <w:rFonts w:ascii="Calibri" w:eastAsia="Calibri" w:hAnsi="Calibri" w:cs="Calibri"/>
          <w:b/>
          <w:bCs/>
          <w:color w:val="3A3A3A"/>
          <w:sz w:val="24"/>
          <w:szCs w:val="24"/>
        </w:rPr>
        <w:t>4.1 Wymagane integracje</w:t>
      </w:r>
    </w:p>
    <w:tbl>
      <w:tblPr>
        <w:tblW w:w="33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3984"/>
      </w:tblGrid>
      <w:tr w:rsidR="00110420" w14:paraId="734B880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2993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475B9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39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7374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512D9" w14:textId="77777777" w:rsidR="00110420" w:rsidRDefault="0011042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CEL INTEGRACJI</w:t>
            </w:r>
          </w:p>
        </w:tc>
      </w:tr>
      <w:tr w:rsidR="00110420" w14:paraId="2CABBAF3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993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EFC97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ATS/CRM (np. Bullhorn)</w:t>
            </w:r>
          </w:p>
        </w:tc>
        <w:tc>
          <w:tcPr>
            <w:tcW w:w="39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D0A97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Dane kontraktowe, status konsultanta, pipeline projektów</w:t>
            </w:r>
          </w:p>
        </w:tc>
      </w:tr>
      <w:tr w:rsidR="00110420" w14:paraId="79CA57A8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993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FB79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System finansowy</w:t>
            </w:r>
          </w:p>
        </w:tc>
        <w:tc>
          <w:tcPr>
            <w:tcW w:w="39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42334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Status płatności, historia faktur</w:t>
            </w:r>
          </w:p>
        </w:tc>
      </w:tr>
      <w:tr w:rsidR="00110420" w14:paraId="6896CE41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993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1C81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Slack/Teams</w:t>
            </w:r>
          </w:p>
        </w:tc>
        <w:tc>
          <w:tcPr>
            <w:tcW w:w="39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5B7CE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Powiadomienia, alerty Red Flag</w:t>
            </w:r>
          </w:p>
        </w:tc>
      </w:tr>
      <w:tr w:rsidR="00110420" w14:paraId="0BA86496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993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38D25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Email (SMTP)</w:t>
            </w:r>
          </w:p>
        </w:tc>
        <w:tc>
          <w:tcPr>
            <w:tcW w:w="39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AB61B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Powiadomienia, onboarding, kampanie</w:t>
            </w:r>
          </w:p>
        </w:tc>
      </w:tr>
      <w:tr w:rsidR="00110420" w14:paraId="521CC8AB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993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77D3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SSO (Google/Microsoft)</w:t>
            </w:r>
          </w:p>
        </w:tc>
        <w:tc>
          <w:tcPr>
            <w:tcW w:w="39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CC0EA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Bezpieczne logowanie</w:t>
            </w:r>
          </w:p>
        </w:tc>
      </w:tr>
      <w:tr w:rsidR="00110420" w14:paraId="576DD098" w14:textId="77777777" w:rsidTr="0011042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993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B31EC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Push Notifications (FCM/APNs)</w:t>
            </w:r>
          </w:p>
        </w:tc>
        <w:tc>
          <w:tcPr>
            <w:tcW w:w="3985" w:type="dxa"/>
            <w:tcBorders>
              <w:top w:val="single" w:sz="1" w:space="0" w:color="AAB4BF"/>
              <w:left w:val="single" w:sz="1" w:space="0" w:color="AAB4BF"/>
              <w:bottom w:val="single" w:sz="1" w:space="0" w:color="AAB4BF"/>
              <w:right w:val="single" w:sz="1" w:space="0" w:color="AAB4BF"/>
            </w:tcBorders>
            <w:shd w:val="clear" w:color="auto" w:fill="E1E1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6F07F" w14:textId="77777777" w:rsidR="00110420" w:rsidRDefault="0011042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Alerty mobilne</w:t>
            </w:r>
          </w:p>
        </w:tc>
      </w:tr>
    </w:tbl>
    <w:p w14:paraId="08DF4851" w14:textId="748B2352" w:rsidR="009B0ACE" w:rsidRDefault="00000000" w:rsidP="001901AD">
      <w:r>
        <w:br w:type="page"/>
      </w:r>
      <w:r>
        <w:rPr>
          <w:rFonts w:ascii="Calibri" w:eastAsia="Calibri" w:hAnsi="Calibri" w:cs="Calibri"/>
          <w:b/>
          <w:bCs/>
          <w:color w:val="E73748"/>
          <w:sz w:val="28"/>
          <w:szCs w:val="28"/>
        </w:rPr>
        <w:lastRenderedPageBreak/>
        <w:t>8. PODSUMOWANIE</w:t>
      </w:r>
    </w:p>
    <w:p w14:paraId="78E610BB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color w:val="3A3A3A"/>
          <w:sz w:val="22"/>
          <w:szCs w:val="22"/>
        </w:rPr>
        <w:t>Aplikacja mobilna dla konsultantów B2B.net to strategiczna inwestycja w retencję aktywów generujących marżę. Kluczowe elementy sukcesu:</w:t>
      </w:r>
    </w:p>
    <w:p w14:paraId="2D1CD6D0" w14:textId="77777777" w:rsidR="009B0ACE" w:rsidRDefault="00000000">
      <w:pPr>
        <w:pStyle w:val="Akapitzlist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Marketplace projektów - eliminacja psychologicznego strachu przed zakończeniem kontraktu</w:t>
      </w:r>
    </w:p>
    <w:p w14:paraId="4669AD39" w14:textId="77777777" w:rsidR="009B0ACE" w:rsidRDefault="00000000">
      <w:pPr>
        <w:pStyle w:val="Akapitzlist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Contract Health Score - wczesne ostrzeganie o ryzykach przed eskalacją</w:t>
      </w:r>
    </w:p>
    <w:p w14:paraId="5F273E5E" w14:textId="77777777" w:rsidR="009B0ACE" w:rsidRDefault="00000000">
      <w:pPr>
        <w:pStyle w:val="Akapitzlist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Program lojalnościowy - pozytywne bodźce behawioralne bez kar</w:t>
      </w:r>
    </w:p>
    <w:p w14:paraId="7F90941B" w14:textId="77777777" w:rsidR="009B0ACE" w:rsidRDefault="00000000">
      <w:pPr>
        <w:pStyle w:val="Akapitzlist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Integracja z funkcją Consultant Success - aplikacja jako narzędzie, nie zamiennik człowieka</w:t>
      </w:r>
    </w:p>
    <w:p w14:paraId="688EC897" w14:textId="77777777" w:rsidR="009B0ACE" w:rsidRDefault="00000000">
      <w:pPr>
        <w:pStyle w:val="Akapitzlist"/>
        <w:numPr>
          <w:ilvl w:val="0"/>
          <w:numId w:val="2"/>
        </w:numPr>
        <w:spacing w:after="200"/>
      </w:pPr>
      <w:r>
        <w:rPr>
          <w:rFonts w:ascii="Calibri" w:eastAsia="Calibri" w:hAnsi="Calibri" w:cs="Calibri"/>
          <w:sz w:val="22"/>
          <w:szCs w:val="22"/>
        </w:rPr>
        <w:t>Dashboard zarządczy - decyzje wyprzedzające zamiast gaszenia pożarów</w:t>
      </w:r>
    </w:p>
    <w:p w14:paraId="48B24191" w14:textId="77777777" w:rsidR="009B0ACE" w:rsidRDefault="00000000">
      <w:pPr>
        <w:spacing w:after="140" w:line="280" w:lineRule="auto"/>
      </w:pPr>
      <w:r>
        <w:rPr>
          <w:rFonts w:ascii="Calibri" w:eastAsia="Calibri" w:hAnsi="Calibri" w:cs="Calibri"/>
          <w:b/>
          <w:bCs/>
          <w:color w:val="3A3A3A"/>
          <w:sz w:val="22"/>
          <w:szCs w:val="22"/>
        </w:rPr>
        <w:t>Rekomendacja: rozpocząć od MVP z pilotem na 50-80 konsultantów (najlepiej na klientach o wysokiej rotacji, np. Nordea), mierzyć KPI przez 6 miesięcy, następnie decyzja o pełnym rollout.</w:t>
      </w:r>
    </w:p>
    <w:p w14:paraId="2C4A0CB1" w14:textId="18D6F4A2" w:rsidR="009B0ACE" w:rsidRDefault="009B0ACE">
      <w:pPr>
        <w:spacing w:after="140" w:line="280" w:lineRule="auto"/>
        <w:rPr>
          <w:rFonts w:ascii="Calibri" w:eastAsia="Calibri" w:hAnsi="Calibri" w:cs="Calibri"/>
          <w:i/>
          <w:iCs/>
          <w:color w:val="AAB4BF"/>
          <w:sz w:val="22"/>
          <w:szCs w:val="22"/>
        </w:rPr>
      </w:pPr>
    </w:p>
    <w:p w14:paraId="077B6F02" w14:textId="5DC9D9D4" w:rsidR="001901AD" w:rsidRDefault="001901AD">
      <w:pPr>
        <w:spacing w:after="140" w:line="280" w:lineRule="auto"/>
      </w:pPr>
      <w:hyperlink r:id="rId7" w:history="1">
        <w:r w:rsidRPr="002E2334">
          <w:rPr>
            <w:rStyle w:val="Hipercze"/>
          </w:rPr>
          <w:t>file:///Users/b2b/Downloads/Qualrix_Specyfika</w:t>
        </w:r>
        <w:r w:rsidRPr="002E2334">
          <w:rPr>
            <w:rStyle w:val="Hipercze"/>
          </w:rPr>
          <w:t>c</w:t>
        </w:r>
        <w:r w:rsidRPr="002E2334">
          <w:rPr>
            <w:rStyle w:val="Hipercze"/>
          </w:rPr>
          <w:t>ja_Modulowa%20(1).html</w:t>
        </w:r>
      </w:hyperlink>
    </w:p>
    <w:p w14:paraId="37C02C53" w14:textId="0EF91E20" w:rsidR="001901AD" w:rsidRDefault="001901AD">
      <w:pPr>
        <w:spacing w:after="140" w:line="280" w:lineRule="auto"/>
      </w:pPr>
    </w:p>
    <w:p w14:paraId="4A8CB545" w14:textId="760739FE" w:rsidR="001901AD" w:rsidRDefault="001901AD">
      <w:pPr>
        <w:spacing w:after="140" w:line="280" w:lineRule="auto"/>
      </w:pPr>
      <w:r>
        <w:t>pod tym linkiem jest</w:t>
      </w:r>
    </w:p>
    <w:p w14:paraId="059C652F" w14:textId="3E34EE7F" w:rsidR="001901AD" w:rsidRDefault="001901AD">
      <w:pPr>
        <w:spacing w:after="140" w:line="280" w:lineRule="auto"/>
      </w:pPr>
      <w:r>
        <w:rPr>
          <w:rFonts w:ascii="Arial" w:hAnsi="Arial" w:cs="Arial"/>
          <w:color w:val="9CA3AF"/>
          <w:sz w:val="27"/>
          <w:szCs w:val="27"/>
          <w:shd w:val="clear" w:color="auto" w:fill="0D0D1A"/>
        </w:rPr>
        <w:t>Kompleksowa dokumentacja architektury aplikacji dla konsultantów B2B.net S.A.</w:t>
      </w:r>
      <w:r>
        <w:rPr>
          <w:rFonts w:ascii="Arial" w:hAnsi="Arial" w:cs="Arial"/>
          <w:color w:val="9CA3AF"/>
          <w:sz w:val="27"/>
          <w:szCs w:val="27"/>
        </w:rPr>
        <w:br/>
      </w:r>
      <w:r>
        <w:rPr>
          <w:rFonts w:ascii="Arial" w:hAnsi="Arial" w:cs="Arial"/>
          <w:color w:val="9CA3AF"/>
          <w:sz w:val="27"/>
          <w:szCs w:val="27"/>
          <w:shd w:val="clear" w:color="auto" w:fill="0D0D1A"/>
        </w:rPr>
        <w:t>wraz z mockupami interfejsu i mapą rozwoju produktu</w:t>
      </w:r>
    </w:p>
    <w:sectPr w:rsidR="001901AD">
      <w:headerReference w:type="default" r:id="rId8"/>
      <w:footerReference w:type="default" r:id="rId9"/>
      <w:pgSz w:w="11906" w:h="16838"/>
      <w:pgMar w:top="100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CA2" w14:textId="77777777" w:rsidR="00670642" w:rsidRDefault="00670642">
      <w:r>
        <w:separator/>
      </w:r>
    </w:p>
  </w:endnote>
  <w:endnote w:type="continuationSeparator" w:id="0">
    <w:p w14:paraId="1452A105" w14:textId="77777777" w:rsidR="00670642" w:rsidRDefault="00670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79E2" w14:textId="77777777" w:rsidR="009B0ACE" w:rsidRDefault="00000000">
    <w:pPr>
      <w:tabs>
        <w:tab w:val="right" w:pos="9638"/>
      </w:tabs>
    </w:pPr>
    <w:r>
      <w:rPr>
        <w:rFonts w:ascii="Calibri" w:eastAsia="Calibri" w:hAnsi="Calibri" w:cs="Calibri"/>
        <w:i/>
        <w:iCs/>
        <w:color w:val="666666"/>
        <w:sz w:val="16"/>
        <w:szCs w:val="16"/>
      </w:rPr>
      <w:t>B2B.net S.A. - Dokument poufny</w:t>
    </w:r>
    <w:r>
      <w:tab/>
    </w:r>
    <w:r>
      <w:rPr>
        <w:rFonts w:ascii="Calibri" w:eastAsia="Calibri" w:hAnsi="Calibri" w:cs="Calibri"/>
        <w:color w:val="666666"/>
        <w:sz w:val="18"/>
        <w:szCs w:val="18"/>
      </w:rPr>
      <w:fldChar w:fldCharType="begin"/>
    </w:r>
    <w:r>
      <w:rPr>
        <w:rFonts w:ascii="Calibri" w:eastAsia="Calibri" w:hAnsi="Calibri" w:cs="Calibri"/>
        <w:color w:val="666666"/>
        <w:sz w:val="18"/>
        <w:szCs w:val="18"/>
      </w:rPr>
      <w:instrText>PAGE</w:instrText>
    </w:r>
    <w:r>
      <w:rPr>
        <w:rFonts w:ascii="Calibri" w:eastAsia="Calibri" w:hAnsi="Calibri" w:cs="Calibri"/>
        <w:color w:val="666666"/>
        <w:sz w:val="18"/>
        <w:szCs w:val="18"/>
      </w:rPr>
      <w:fldChar w:fldCharType="separate"/>
    </w:r>
    <w:r w:rsidR="00110420">
      <w:rPr>
        <w:rFonts w:ascii="Calibri" w:eastAsia="Calibri" w:hAnsi="Calibri" w:cs="Calibri"/>
        <w:noProof/>
        <w:color w:val="666666"/>
        <w:sz w:val="18"/>
        <w:szCs w:val="18"/>
      </w:rPr>
      <w:t>1</w:t>
    </w:r>
    <w:r>
      <w:rPr>
        <w:rFonts w:ascii="Calibri" w:eastAsia="Calibri" w:hAnsi="Calibri" w:cs="Calibri"/>
        <w:color w:val="666666"/>
        <w:sz w:val="18"/>
        <w:szCs w:val="18"/>
      </w:rPr>
      <w:fldChar w:fldCharType="end"/>
    </w:r>
    <w:r>
      <w:rPr>
        <w:rFonts w:ascii="Calibri" w:eastAsia="Calibri" w:hAnsi="Calibri" w:cs="Calibri"/>
        <w:color w:val="666666"/>
        <w:sz w:val="18"/>
        <w:szCs w:val="18"/>
      </w:rPr>
      <w:t xml:space="preserve"> z </w:t>
    </w:r>
    <w:r>
      <w:rPr>
        <w:rFonts w:ascii="Calibri" w:eastAsia="Calibri" w:hAnsi="Calibri" w:cs="Calibri"/>
        <w:color w:val="666666"/>
        <w:sz w:val="18"/>
        <w:szCs w:val="18"/>
      </w:rPr>
      <w:fldChar w:fldCharType="begin"/>
    </w:r>
    <w:r>
      <w:rPr>
        <w:rFonts w:ascii="Calibri" w:eastAsia="Calibri" w:hAnsi="Calibri" w:cs="Calibri"/>
        <w:color w:val="666666"/>
        <w:sz w:val="18"/>
        <w:szCs w:val="18"/>
      </w:rPr>
      <w:instrText>NUMPAGES</w:instrText>
    </w:r>
    <w:r>
      <w:rPr>
        <w:rFonts w:ascii="Calibri" w:eastAsia="Calibri" w:hAnsi="Calibri" w:cs="Calibri"/>
        <w:color w:val="666666"/>
        <w:sz w:val="18"/>
        <w:szCs w:val="18"/>
      </w:rPr>
      <w:fldChar w:fldCharType="separate"/>
    </w:r>
    <w:r w:rsidR="00110420">
      <w:rPr>
        <w:rFonts w:ascii="Calibri" w:eastAsia="Calibri" w:hAnsi="Calibri" w:cs="Calibri"/>
        <w:noProof/>
        <w:color w:val="666666"/>
        <w:sz w:val="18"/>
        <w:szCs w:val="18"/>
      </w:rPr>
      <w:t>2</w:t>
    </w:r>
    <w:r>
      <w:rPr>
        <w:rFonts w:ascii="Calibri" w:eastAsia="Calibri" w:hAnsi="Calibri" w:cs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99DBC" w14:textId="77777777" w:rsidR="00670642" w:rsidRDefault="00670642">
      <w:r>
        <w:separator/>
      </w:r>
    </w:p>
  </w:footnote>
  <w:footnote w:type="continuationSeparator" w:id="0">
    <w:p w14:paraId="653A0F48" w14:textId="77777777" w:rsidR="00670642" w:rsidRDefault="00670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26FA" w14:textId="77777777" w:rsidR="009B0ACE" w:rsidRDefault="00000000">
    <w:pPr>
      <w:spacing w:after="400"/>
    </w:pPr>
    <w:r>
      <w:rPr>
        <w:noProof/>
      </w:rPr>
      <w:drawing>
        <wp:inline distT="0" distB="0" distL="0" distR="0" wp14:anchorId="5D4DCA18" wp14:editId="0C4ED755">
          <wp:extent cx="876300" cy="590550"/>
          <wp:effectExtent l="0" t="0" r="0" b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C65"/>
    <w:multiLevelType w:val="hybridMultilevel"/>
    <w:tmpl w:val="E1E49FC2"/>
    <w:lvl w:ilvl="0" w:tplc="671C0A0A">
      <w:start w:val="1"/>
      <w:numFmt w:val="decimal"/>
      <w:lvlText w:val="%1."/>
      <w:lvlJc w:val="left"/>
      <w:pPr>
        <w:ind w:left="720" w:hanging="360"/>
      </w:pPr>
    </w:lvl>
    <w:lvl w:ilvl="1" w:tplc="9A74C486">
      <w:numFmt w:val="decimal"/>
      <w:lvlText w:val=""/>
      <w:lvlJc w:val="left"/>
    </w:lvl>
    <w:lvl w:ilvl="2" w:tplc="E2A4357C">
      <w:numFmt w:val="decimal"/>
      <w:lvlText w:val=""/>
      <w:lvlJc w:val="left"/>
    </w:lvl>
    <w:lvl w:ilvl="3" w:tplc="4D645B3C">
      <w:numFmt w:val="decimal"/>
      <w:lvlText w:val=""/>
      <w:lvlJc w:val="left"/>
    </w:lvl>
    <w:lvl w:ilvl="4" w:tplc="A2D4324A">
      <w:numFmt w:val="decimal"/>
      <w:lvlText w:val=""/>
      <w:lvlJc w:val="left"/>
    </w:lvl>
    <w:lvl w:ilvl="5" w:tplc="8BBAD21E">
      <w:numFmt w:val="decimal"/>
      <w:lvlText w:val=""/>
      <w:lvlJc w:val="left"/>
    </w:lvl>
    <w:lvl w:ilvl="6" w:tplc="82686BCE">
      <w:numFmt w:val="decimal"/>
      <w:lvlText w:val=""/>
      <w:lvlJc w:val="left"/>
    </w:lvl>
    <w:lvl w:ilvl="7" w:tplc="3386E2D8">
      <w:numFmt w:val="decimal"/>
      <w:lvlText w:val=""/>
      <w:lvlJc w:val="left"/>
    </w:lvl>
    <w:lvl w:ilvl="8" w:tplc="3CBA2BCA">
      <w:numFmt w:val="decimal"/>
      <w:lvlText w:val=""/>
      <w:lvlJc w:val="left"/>
    </w:lvl>
  </w:abstractNum>
  <w:abstractNum w:abstractNumId="1" w15:restartNumberingAfterBreak="0">
    <w:nsid w:val="596D7022"/>
    <w:multiLevelType w:val="hybridMultilevel"/>
    <w:tmpl w:val="555658D0"/>
    <w:lvl w:ilvl="0" w:tplc="975AD9B8">
      <w:start w:val="1"/>
      <w:numFmt w:val="bullet"/>
      <w:lvlText w:val="●"/>
      <w:lvlJc w:val="left"/>
      <w:pPr>
        <w:ind w:left="720" w:hanging="360"/>
      </w:pPr>
    </w:lvl>
    <w:lvl w:ilvl="1" w:tplc="1674DD8A">
      <w:start w:val="1"/>
      <w:numFmt w:val="bullet"/>
      <w:lvlText w:val="○"/>
      <w:lvlJc w:val="left"/>
      <w:pPr>
        <w:ind w:left="1440" w:hanging="360"/>
      </w:pPr>
    </w:lvl>
    <w:lvl w:ilvl="2" w:tplc="991C3708">
      <w:start w:val="1"/>
      <w:numFmt w:val="bullet"/>
      <w:lvlText w:val="■"/>
      <w:lvlJc w:val="left"/>
      <w:pPr>
        <w:ind w:left="2160" w:hanging="360"/>
      </w:pPr>
    </w:lvl>
    <w:lvl w:ilvl="3" w:tplc="8252251A">
      <w:start w:val="1"/>
      <w:numFmt w:val="bullet"/>
      <w:lvlText w:val="●"/>
      <w:lvlJc w:val="left"/>
      <w:pPr>
        <w:ind w:left="2880" w:hanging="360"/>
      </w:pPr>
    </w:lvl>
    <w:lvl w:ilvl="4" w:tplc="C35640A2">
      <w:start w:val="1"/>
      <w:numFmt w:val="bullet"/>
      <w:lvlText w:val="○"/>
      <w:lvlJc w:val="left"/>
      <w:pPr>
        <w:ind w:left="3600" w:hanging="360"/>
      </w:pPr>
    </w:lvl>
    <w:lvl w:ilvl="5" w:tplc="E558DC22">
      <w:start w:val="1"/>
      <w:numFmt w:val="bullet"/>
      <w:lvlText w:val="■"/>
      <w:lvlJc w:val="left"/>
      <w:pPr>
        <w:ind w:left="4320" w:hanging="360"/>
      </w:pPr>
    </w:lvl>
    <w:lvl w:ilvl="6" w:tplc="B0787AA8">
      <w:start w:val="1"/>
      <w:numFmt w:val="bullet"/>
      <w:lvlText w:val="●"/>
      <w:lvlJc w:val="left"/>
      <w:pPr>
        <w:ind w:left="5040" w:hanging="360"/>
      </w:pPr>
    </w:lvl>
    <w:lvl w:ilvl="7" w:tplc="133C47F4">
      <w:start w:val="1"/>
      <w:numFmt w:val="bullet"/>
      <w:lvlText w:val="●"/>
      <w:lvlJc w:val="left"/>
      <w:pPr>
        <w:ind w:left="5760" w:hanging="360"/>
      </w:pPr>
    </w:lvl>
    <w:lvl w:ilvl="8" w:tplc="C096E3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BD6DBC"/>
    <w:multiLevelType w:val="hybridMultilevel"/>
    <w:tmpl w:val="24F4EF7E"/>
    <w:lvl w:ilvl="0" w:tplc="46D0F9F0">
      <w:start w:val="1"/>
      <w:numFmt w:val="bullet"/>
      <w:lvlText w:val="•"/>
      <w:lvlJc w:val="left"/>
      <w:pPr>
        <w:ind w:left="720" w:hanging="360"/>
      </w:pPr>
    </w:lvl>
    <w:lvl w:ilvl="1" w:tplc="F0D6E9C6">
      <w:numFmt w:val="decimal"/>
      <w:lvlText w:val=""/>
      <w:lvlJc w:val="left"/>
    </w:lvl>
    <w:lvl w:ilvl="2" w:tplc="FB7A24A2">
      <w:numFmt w:val="decimal"/>
      <w:lvlText w:val=""/>
      <w:lvlJc w:val="left"/>
    </w:lvl>
    <w:lvl w:ilvl="3" w:tplc="A1EC5EFE">
      <w:numFmt w:val="decimal"/>
      <w:lvlText w:val=""/>
      <w:lvlJc w:val="left"/>
    </w:lvl>
    <w:lvl w:ilvl="4" w:tplc="CBB6AD38">
      <w:numFmt w:val="decimal"/>
      <w:lvlText w:val=""/>
      <w:lvlJc w:val="left"/>
    </w:lvl>
    <w:lvl w:ilvl="5" w:tplc="AB404CEC">
      <w:numFmt w:val="decimal"/>
      <w:lvlText w:val=""/>
      <w:lvlJc w:val="left"/>
    </w:lvl>
    <w:lvl w:ilvl="6" w:tplc="4EF816CE">
      <w:numFmt w:val="decimal"/>
      <w:lvlText w:val=""/>
      <w:lvlJc w:val="left"/>
    </w:lvl>
    <w:lvl w:ilvl="7" w:tplc="54023614">
      <w:numFmt w:val="decimal"/>
      <w:lvlText w:val=""/>
      <w:lvlJc w:val="left"/>
    </w:lvl>
    <w:lvl w:ilvl="8" w:tplc="1EECC422">
      <w:numFmt w:val="decimal"/>
      <w:lvlText w:val=""/>
      <w:lvlJc w:val="left"/>
    </w:lvl>
  </w:abstractNum>
  <w:num w:numId="1" w16cid:durableId="1701009952">
    <w:abstractNumId w:val="1"/>
    <w:lvlOverride w:ilvl="0">
      <w:startOverride w:val="1"/>
    </w:lvlOverride>
  </w:num>
  <w:num w:numId="2" w16cid:durableId="1047143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ACE"/>
    <w:rsid w:val="00110420"/>
    <w:rsid w:val="001901AD"/>
    <w:rsid w:val="00670642"/>
    <w:rsid w:val="009B0ACE"/>
    <w:rsid w:val="00AB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485521C"/>
  <w15:docId w15:val="{B45B3F33-40D1-9344-B1D2-B5D77E81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US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link w:val="Nagwek1Znak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link w:val="Nagwek2Znak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link w:val="Nagwek3Znak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link w:val="Nagwek4Znak"/>
    <w:uiPriority w:val="9"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01AD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1901AD"/>
    <w:rPr>
      <w:color w:val="96607D" w:themeColor="followedHyperlink"/>
      <w:u w:val="single"/>
    </w:rPr>
  </w:style>
  <w:style w:type="paragraph" w:customStyle="1" w:styleId="cover-subtitle">
    <w:name w:val="cover-subtitle"/>
    <w:basedOn w:val="Normalny"/>
    <w:rsid w:val="001901AD"/>
    <w:pPr>
      <w:spacing w:before="100" w:beforeAutospacing="1" w:after="600"/>
    </w:pPr>
    <w:rPr>
      <w:rFonts w:eastAsiaTheme="minorEastAsia"/>
      <w:sz w:val="24"/>
      <w:szCs w:val="24"/>
    </w:rPr>
  </w:style>
  <w:style w:type="paragraph" w:customStyle="1" w:styleId="section-desc">
    <w:name w:val="section-desc"/>
    <w:basedOn w:val="Normalny"/>
    <w:rsid w:val="001901AD"/>
    <w:rPr>
      <w:rFonts w:eastAsiaTheme="minorEastAsia"/>
      <w:sz w:val="24"/>
      <w:szCs w:val="24"/>
    </w:rPr>
  </w:style>
  <w:style w:type="paragraph" w:customStyle="1" w:styleId="module-desc">
    <w:name w:val="module-desc"/>
    <w:basedOn w:val="Normalny"/>
    <w:rsid w:val="001901AD"/>
    <w:pPr>
      <w:spacing w:before="100" w:beforeAutospacing="1" w:after="225"/>
    </w:pPr>
    <w:rPr>
      <w:rFonts w:eastAsiaTheme="minorEastAsia"/>
      <w:sz w:val="24"/>
      <w:szCs w:val="24"/>
    </w:rPr>
  </w:style>
  <w:style w:type="character" w:customStyle="1" w:styleId="q">
    <w:name w:val="q"/>
    <w:basedOn w:val="Domylnaczcionkaakapitu"/>
    <w:rsid w:val="001901AD"/>
  </w:style>
  <w:style w:type="character" w:customStyle="1" w:styleId="Nagwek1Znak">
    <w:name w:val="Nagłówek 1 Znak"/>
    <w:basedOn w:val="Domylnaczcionkaakapitu"/>
    <w:link w:val="Nagwek1"/>
    <w:uiPriority w:val="9"/>
    <w:rsid w:val="001901AD"/>
    <w:rPr>
      <w:color w:val="2E74B5"/>
      <w:sz w:val="32"/>
      <w:szCs w:val="32"/>
    </w:rPr>
  </w:style>
  <w:style w:type="paragraph" w:styleId="NormalnyWeb">
    <w:name w:val="Normal (Web)"/>
    <w:basedOn w:val="Normalny"/>
    <w:uiPriority w:val="99"/>
    <w:semiHidden/>
    <w:unhideWhenUsed/>
    <w:rsid w:val="001901AD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customStyle="1" w:styleId="section-number1">
    <w:name w:val="section-number1"/>
    <w:basedOn w:val="Domylnaczcionkaakapitu"/>
    <w:rsid w:val="001901AD"/>
    <w:rPr>
      <w:b/>
      <w:bCs/>
      <w:spacing w:val="30"/>
    </w:rPr>
  </w:style>
  <w:style w:type="character" w:customStyle="1" w:styleId="Nagwek2Znak">
    <w:name w:val="Nagłówek 2 Znak"/>
    <w:basedOn w:val="Domylnaczcionkaakapitu"/>
    <w:link w:val="Nagwek2"/>
    <w:uiPriority w:val="9"/>
    <w:rsid w:val="001901AD"/>
    <w:rPr>
      <w:color w:val="2E74B5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1901AD"/>
    <w:rPr>
      <w:color w:val="1F4D78"/>
      <w:sz w:val="24"/>
      <w:szCs w:val="24"/>
    </w:rPr>
  </w:style>
  <w:style w:type="character" w:customStyle="1" w:styleId="arch-module1">
    <w:name w:val="arch-module1"/>
    <w:basedOn w:val="Domylnaczcionkaakapitu"/>
    <w:rsid w:val="001901AD"/>
  </w:style>
  <w:style w:type="character" w:customStyle="1" w:styleId="module-id1">
    <w:name w:val="module-id1"/>
    <w:basedOn w:val="Domylnaczcionkaakapitu"/>
    <w:rsid w:val="001901AD"/>
    <w:rPr>
      <w:b/>
      <w:bCs/>
    </w:rPr>
  </w:style>
  <w:style w:type="paragraph" w:customStyle="1" w:styleId="module-tech">
    <w:name w:val="module-tech"/>
    <w:basedOn w:val="Normalny"/>
    <w:rsid w:val="001901AD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customStyle="1" w:styleId="feature-tag1">
    <w:name w:val="feature-tag1"/>
    <w:basedOn w:val="Domylnaczcionkaakapitu"/>
    <w:rsid w:val="001901AD"/>
  </w:style>
  <w:style w:type="character" w:customStyle="1" w:styleId="priority-badge1">
    <w:name w:val="priority-badge1"/>
    <w:basedOn w:val="Domylnaczcionkaakapitu"/>
    <w:rsid w:val="001901AD"/>
    <w:rPr>
      <w:b/>
      <w:bCs/>
    </w:rPr>
  </w:style>
  <w:style w:type="character" w:customStyle="1" w:styleId="mockup-screen-title1">
    <w:name w:val="mockup-screen-title1"/>
    <w:basedOn w:val="Domylnaczcionkaakapitu"/>
    <w:rsid w:val="001901AD"/>
  </w:style>
  <w:style w:type="character" w:customStyle="1" w:styleId="mock-nav-item1">
    <w:name w:val="mock-nav-item1"/>
    <w:basedOn w:val="Domylnaczcionkaakapitu"/>
    <w:rsid w:val="001901AD"/>
  </w:style>
  <w:style w:type="character" w:customStyle="1" w:styleId="mock-card-title1">
    <w:name w:val="mock-card-title1"/>
    <w:basedOn w:val="Domylnaczcionkaakapitu"/>
    <w:rsid w:val="001901AD"/>
    <w:rPr>
      <w:b/>
      <w:bCs/>
    </w:rPr>
  </w:style>
  <w:style w:type="character" w:customStyle="1" w:styleId="mock-badge1">
    <w:name w:val="mock-badge1"/>
    <w:basedOn w:val="Domylnaczcionkaakapitu"/>
    <w:rsid w:val="001901AD"/>
    <w:rPr>
      <w:b/>
      <w:bCs/>
    </w:rPr>
  </w:style>
  <w:style w:type="character" w:customStyle="1" w:styleId="timeline-module1">
    <w:name w:val="timeline-module1"/>
    <w:basedOn w:val="Domylnaczcionkaakapitu"/>
    <w:rsid w:val="001901AD"/>
  </w:style>
  <w:style w:type="character" w:customStyle="1" w:styleId="Nagwek4Znak">
    <w:name w:val="Nagłówek 4 Znak"/>
    <w:basedOn w:val="Domylnaczcionkaakapitu"/>
    <w:link w:val="Nagwek4"/>
    <w:uiPriority w:val="9"/>
    <w:rsid w:val="001901AD"/>
    <w:rPr>
      <w:i/>
      <w:iCs/>
      <w:color w:val="2E74B5"/>
    </w:rPr>
  </w:style>
  <w:style w:type="character" w:styleId="Pogrubienie">
    <w:name w:val="Strong"/>
    <w:basedOn w:val="Domylnaczcionkaakapitu"/>
    <w:uiPriority w:val="22"/>
    <w:qFormat/>
    <w:rsid w:val="001901AD"/>
    <w:rPr>
      <w:b/>
      <w:bCs/>
    </w:rPr>
  </w:style>
  <w:style w:type="paragraph" w:customStyle="1" w:styleId="footer-text">
    <w:name w:val="footer-text"/>
    <w:basedOn w:val="Normalny"/>
    <w:rsid w:val="001901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4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1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88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7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9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6951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3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199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6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344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2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7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648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9356009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55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0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9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9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86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3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7141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91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5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63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3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7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50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1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87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2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1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203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1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55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9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7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39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94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70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72375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510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08868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63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03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0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78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37141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619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36542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1463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67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7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00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2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90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823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9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50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782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41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68541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566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95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8742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21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76518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30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89670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83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00115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1744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352503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930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4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1824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4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3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472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8865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9432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3108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443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0189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0628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357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3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210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7015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20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80890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0730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5222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5192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4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1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67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1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3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6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7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3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08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800631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061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501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9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4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1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2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6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85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8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7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0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443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73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6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15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72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8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480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0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0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18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26858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4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0966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03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95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46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47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7847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966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47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5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6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028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6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03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03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9462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856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847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69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30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65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648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29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7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7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3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4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44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5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50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32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11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54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201162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9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37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62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012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1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18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96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62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39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59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47682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001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2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160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229812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7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20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3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214696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8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8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68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9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50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25949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6275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50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7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12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57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292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63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1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3255250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5225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188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36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989676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063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48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34318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191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23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46709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9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02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3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4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23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0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5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06830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9358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978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55589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952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Users/b2b/Downloads/Qualrix_Specyfikacja_Modulowa%20(1)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1746</Words>
  <Characters>10481</Characters>
  <Application>Microsoft Office Word</Application>
  <DocSecurity>0</DocSecurity>
  <Lines>87</Lines>
  <Paragraphs>24</Paragraphs>
  <ScaleCrop>false</ScaleCrop>
  <Company>B2B.net SA</Company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Zbigniew Twardowski</cp:lastModifiedBy>
  <cp:revision>2</cp:revision>
  <dcterms:created xsi:type="dcterms:W3CDTF">2026-01-12T10:40:00Z</dcterms:created>
  <dcterms:modified xsi:type="dcterms:W3CDTF">2026-01-12T10:40:00Z</dcterms:modified>
</cp:coreProperties>
</file>