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F46E5"/>
          <w:sz w:val="52"/>
        </w:rPr>
        <w:t>Audyt przepływu zamówień</w:t>
      </w:r>
    </w:p>
    <w:p>
      <w:r>
        <w:rPr>
          <w:color w:val="1E293B"/>
          <w:sz w:val="26"/>
        </w:rPr>
        <w:t>Moduły Zamówienia + Kontrakty — pełna dokumentacja i audyt przed zamknięciem prac</w:t>
      </w:r>
    </w:p>
    <w:p>
      <w:r>
        <w:rPr>
          <w:i/>
          <w:color w:val="64748B"/>
          <w:sz w:val="20"/>
        </w:rPr>
        <w:t>NEXUS (ATS) · stan kodu na 2026-09-07 · audyt na podstawie kodu produkcyjnego · errata §8.C (P1) z 2026-09-08</w:t>
      </w:r>
    </w:p>
    <w:p>
      <w:r>
        <w:rPr>
          <w:b w:val="0"/>
          <w:i w:val="0"/>
        </w:rPr>
      </w:r>
    </w:p>
    <w:p>
      <w:r>
        <w:rPr>
          <w:b/>
          <w:i w:val="0"/>
          <w:sz w:val="24"/>
        </w:rPr>
        <w:t>Cel dokumentu</w:t>
      </w:r>
    </w:p>
    <w:p>
      <w:r>
        <w:rPr>
          <w:b w:val="0"/>
          <w:i w:val="0"/>
        </w:rPr>
        <w:t>Odtworzyć i opisać cały przepływ tworzenia i życia zamówienia — od źródła danych po zakończenie — dla każdego klienta osobno (zarówno w pełni zautomatyzowanych, jak i tych bez automatyzacji), a następnie wskazać, co wymaga poprawy przed zamknięciem prac nad modułami.</w:t>
      </w:r>
    </w:p>
    <w:p>
      <w:r>
        <w:rPr>
          <w:b w:val="0"/>
          <w:i w:val="0"/>
        </w:rPr>
      </w:r>
    </w:p>
    <w:p>
      <w:r>
        <w:rPr>
          <w:b/>
          <w:i w:val="0"/>
          <w:sz w:val="24"/>
        </w:rPr>
        <w:t>Relacja do instrukcji w Pomocy (ważne)</w:t>
      </w:r>
    </w:p>
    <w:p>
      <w:r>
        <w:rPr>
          <w:b w:val="0"/>
          <w:i w:val="0"/>
        </w:rPr>
        <w:t>W aplikacji istnieje już ŻYWA instrukcja „Zamówienia — instrukcja dla Delivery Leada” (Pomoc → Procedury). Jest ona utrzymywana razem z kodem i pilnowana przez CI (test świeżości + stempel daty), więc pozostaje źródłem prawdy o bieżącym zachowaniu systemu. Ten dokument to DATOWANY snapshot audytowy: dokłada diagram całego przepływu, tabelę poziomów automatyzacji per klient oraz sekcję wniosków i rekomendacji — treści, których instrukcja dla użytkownika mieć nie może. W ramach tego audytu instrukcja została uzupełniona (5 brakujących klientów) i zsynchronizowana z kodem.</w:t>
      </w:r>
    </w:p>
    <w:p>
      <w:r>
        <w:rPr>
          <w:b w:val="0"/>
          <w:i w:val="0"/>
        </w:rPr>
      </w:r>
    </w:p>
    <w:p>
      <w:r>
        <w:rPr>
          <w:b/>
          <w:i w:val="0"/>
          <w:sz w:val="24"/>
        </w:rPr>
        <w:t>Metoda</w:t>
      </w:r>
    </w:p>
    <w:p>
      <w:pPr>
        <w:pStyle w:val="ListBullet"/>
      </w:pPr>
      <w:r>
        <w:t>Audyt czterech obszarów bezpośrednio w kodzie produkcyjnym (nie w deklaracjach): źródła powstawania i typy zamówień, reguły odczytu PDF per klient, cykl życia statusu + synchronizacja z Kontraktami, alerty Delivery Leada.</w:t>
      </w:r>
    </w:p>
    <w:p>
      <w:pPr>
        <w:pStyle w:val="ListBullet"/>
      </w:pPr>
      <w:r>
        <w:t>Weryfikacja krzyżowa z żywą instrukcją w Pomocy (zgodność sprawdzona 2026-09-04).</w:t>
      </w:r>
    </w:p>
    <w:p>
      <w:pPr>
        <w:pStyle w:val="ListBullet"/>
      </w:pPr>
      <w:r>
        <w:t>Każde przejście statusu opisane triggerem; każda reguła klienta wskazana z lokalizacją w kodzie.</w:t>
      </w:r>
    </w:p>
    <w:p>
      <w:r>
        <w:br w:type="page"/>
      </w:r>
    </w:p>
    <w:p>
      <w:pPr>
        <w:pStyle w:val="Heading1"/>
      </w:pPr>
      <w:r>
        <w:t>Schemat przepływu</w:t>
      </w:r>
    </w:p>
    <w:p>
      <w:r>
        <w:rPr>
          <w:b w:val="0"/>
          <w:i/>
          <w:color w:val="64748B"/>
        </w:rPr>
        <w:t>Pełny przepływ: źródło → (odczyt PDF) → cykl życia statusu → alerty → powiązanie z Kontraktami.</w:t>
      </w:r>
    </w:p>
    <w:p>
      <w:r>
        <w:drawing>
          <wp:inline xmlns:a="http://schemas.openxmlformats.org/drawingml/2006/main" xmlns:pic="http://schemas.openxmlformats.org/drawingml/2006/picture">
            <wp:extent cx="5760720" cy="4979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zeplyw-zamowien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9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Tworzenie zamówienia — źródła i typy</w:t>
      </w:r>
    </w:p>
    <w:p>
      <w:pPr>
        <w:pStyle w:val="Heading2"/>
      </w:pPr>
      <w:r>
        <w:t>Trzy typy zamówienia</w:t>
      </w:r>
    </w:p>
    <w:p>
      <w:pPr>
        <w:pStyle w:val="ListBullet"/>
      </w:pPr>
      <w:r>
        <w:rPr>
          <w:b/>
        </w:rPr>
        <w:t xml:space="preserve">Okresowe — </w:t>
      </w:r>
      <w:r>
        <w:t>jedna osoba = jedno zamówienie (klasyczny body-leasing). Rozliczane datami.</w:t>
      </w:r>
    </w:p>
    <w:p>
      <w:pPr>
        <w:pStyle w:val="ListBullet"/>
      </w:pPr>
      <w:r>
        <w:rPr>
          <w:b/>
        </w:rPr>
        <w:t xml:space="preserve">MD — </w:t>
      </w:r>
      <w:r>
        <w:t>jeden numer klienta obejmuje kilku konsultantów, rozliczenie w osobodniach. Kończy się, gdy skończą się dni, nie gdy minie data.</w:t>
      </w:r>
    </w:p>
    <w:p>
      <w:pPr>
        <w:pStyle w:val="ListBullet"/>
      </w:pPr>
      <w:r>
        <w:rPr>
          <w:b/>
        </w:rPr>
        <w:t xml:space="preserve">Kosztowe — </w:t>
      </w:r>
      <w:r>
        <w:t>jeden numer, kilku konsultantów, jedna kwota w złotych z góry. Kończy się, gdy pula pieniędzy zejdzie do zera.</w:t>
      </w:r>
    </w:p>
    <w:p>
      <w:r>
        <w:rPr>
          <w:b w:val="0"/>
          <w:i w:val="0"/>
        </w:rPr>
        <w:t>Budżet MD jest przypisany OSOBIE — z dwoma wyjątkami: u Lotte Wedel i Cyfrowego Polsatu obowiązuje WSPÓLNA PULA dni dla całego zamówienia. Ograniczenie typów per klient jest wpisane w kod (nie do zmiany z aplikacji).</w:t>
      </w:r>
    </w:p>
    <w:p>
      <w:pPr>
        <w:pStyle w:val="Heading2"/>
      </w:pPr>
      <w:r>
        <w:t>Trzy drogi powstania zamówienia</w:t>
      </w:r>
    </w:p>
    <w:p>
      <w:pPr>
        <w:pStyle w:val="ListBullet"/>
      </w:pPr>
      <w:r>
        <w:rPr>
          <w:b/>
        </w:rPr>
        <w:t xml:space="preserve">Automat (hook zatrudnienia / potwierdzenie podpisu) — </w:t>
      </w:r>
      <w:r>
        <w:t>po przejściu kandydata na etap „zatrudniony” albo po potwierdzeniu obustronnie podpisanej umowy system zakłada szkic umowy + szkic zamówienia (patrz sekcja 3).</w:t>
      </w:r>
    </w:p>
    <w:p>
      <w:pPr>
        <w:pStyle w:val="ListBullet"/>
      </w:pPr>
      <w:r>
        <w:rPr>
          <w:b/>
        </w:rPr>
        <w:t xml:space="preserve">Ręcznie — </w:t>
      </w:r>
      <w:r>
        <w:t>„Nowy kontraktor / zamówienie” (zakłada naraz umowę i pierwsze zamówienie okresowe) albo „Nowe zamówienie” (dwuetapowo: najpierw grupa MD/kosztowa, potem dokładanie konsultantów).</w:t>
      </w:r>
    </w:p>
    <w:p>
      <w:pPr>
        <w:pStyle w:val="ListBullet"/>
      </w:pPr>
      <w:r>
        <w:rPr>
          <w:b/>
        </w:rPr>
        <w:t xml:space="preserve">Import zbiorczy — </w:t>
      </w:r>
      <w:r>
        <w:t>CSV Nordea (tylko administrator) aktualizuje wielu konsultantów naraz; „Zamówienia z maila” pobierają dokumenty ze skrzynki nexus-zamowienia@ i rozpoznają klienta po NIP/markerze/domenie.</w:t>
      </w:r>
    </w:p>
    <w:p>
      <w:pPr>
        <w:pStyle w:val="Heading2"/>
      </w:pPr>
      <w:r>
        <w:t>Różnice per klient (co inne niż standard)</w:t>
      </w:r>
    </w:p>
    <w:p>
      <w:pPr>
        <w:pStyle w:val="ListBullet"/>
      </w:pPr>
      <w:r>
        <w:rPr>
          <w:b/>
        </w:rPr>
        <w:t xml:space="preserve">Polkomtel — </w:t>
      </w:r>
      <w:r>
        <w:t>system NIE zakłada tu auto-szkicu po zatrudnieniu (klient kosztowy). Zamówienie zakłada się ręcznie. Typy: MD + kosztowe.</w:t>
      </w:r>
    </w:p>
    <w:p>
      <w:pPr>
        <w:pStyle w:val="ListBullet"/>
      </w:pPr>
      <w:r>
        <w:rPr>
          <w:b/>
        </w:rPr>
        <w:t xml:space="preserve">BNP Paribas, BIK — </w:t>
      </w:r>
      <w:r>
        <w:t>tylko typ MD; budżet dni przy każdej osobie.</w:t>
      </w:r>
    </w:p>
    <w:p>
      <w:pPr>
        <w:pStyle w:val="ListBullet"/>
      </w:pPr>
      <w:r>
        <w:rPr>
          <w:b/>
        </w:rPr>
        <w:t xml:space="preserve">Lotte Wedel — </w:t>
      </w:r>
      <w:r>
        <w:t>MD + kosztowe; przy MD wspólna pula dni.</w:t>
      </w:r>
    </w:p>
    <w:p>
      <w:pPr>
        <w:pStyle w:val="ListBullet"/>
      </w:pPr>
      <w:r>
        <w:rPr>
          <w:b/>
        </w:rPr>
        <w:t xml:space="preserve">Cyfrowy Polsat — </w:t>
      </w:r>
      <w:r>
        <w:t>wszystkie trzy typy; przy MD wspólna pula; standardowy typ nadal korzysta z auto-szkicu, a specjalne grupy MD/kosztowe zakłada się ręcznie.</w:t>
      </w:r>
    </w:p>
    <w:p>
      <w:pPr>
        <w:pStyle w:val="ListBullet"/>
      </w:pPr>
      <w:r>
        <w:rPr>
          <w:b/>
        </w:rPr>
        <w:t xml:space="preserve">Nordea — </w:t>
      </w:r>
      <w:r>
        <w:t>prowadzona jako okresowa; posiada import CSV (admin) oraz regułę numeru w odczycie PDF.</w:t>
      </w:r>
    </w:p>
    <w:p>
      <w:pPr>
        <w:pStyle w:val="ListBullet"/>
      </w:pPr>
      <w:r>
        <w:rPr>
          <w:b/>
        </w:rPr>
        <w:t xml:space="preserve">Centrum e-Zdrowia — </w:t>
      </w:r>
      <w:r>
        <w:t>jedyny klient z obowiązkowym polem „Część umowy” przy nowym zamówieniu i przedłużeniu.</w:t>
      </w:r>
    </w:p>
    <w:p>
      <w:pPr>
        <w:pStyle w:val="ListBullet"/>
      </w:pPr>
      <w:r>
        <w:rPr>
          <w:b/>
        </w:rPr>
        <w:t xml:space="preserve">Pozostali — </w:t>
      </w:r>
      <w:r>
        <w:t>wszystkie trzy typy; budżet MD przypisany osobie; odczyt PDF w wersji ogólnej.</w:t>
      </w:r>
    </w:p>
    <w:p>
      <w:pPr>
        <w:pStyle w:val="Heading1"/>
      </w:pPr>
      <w:r>
        <w:t>2. Zamówienia domyślne (auto-tworzone)</w:t>
      </w:r>
    </w:p>
    <w:p>
      <w:r>
        <w:rPr>
          <w:b w:val="0"/>
          <w:i w:val="0"/>
        </w:rPr>
        <w:t>„Zamówienie domyślne” = szkic zamówienia zakładany automatycznie przez hook zatrudnienia / potwierdzenia podpisu (funkcja _ensure_open_order).</w:t>
      </w:r>
    </w:p>
    <w:p>
      <w:pPr>
        <w:pStyle w:val="Heading3"/>
      </w:pPr>
      <w:r>
        <w:t>Moment i zawartość</w:t>
      </w:r>
    </w:p>
    <w:p>
      <w:pPr>
        <w:pStyle w:val="ListBullet"/>
      </w:pPr>
      <w:r>
        <w:t>Trigger: przejście kandydata na etap „zatrudniony” albo potwierdzenie obustronnie podpisanej umowy.</w:t>
      </w:r>
    </w:p>
    <w:p>
      <w:pPr>
        <w:pStyle w:val="ListBullet"/>
      </w:pPr>
      <w:r>
        <w:t>Powstaje: szkic umowy (draft) + szkic zamówienia (draft) ze stawką przepisaną z umowy i notatką „Uzupełnij stawkę klienta, daty i wgraj PDF zamówienia”.</w:t>
      </w:r>
    </w:p>
    <w:p>
      <w:pPr>
        <w:pStyle w:val="ListBullet"/>
      </w:pPr>
      <w:r>
        <w:t>Numer zastępczy: „(bez numeru)” u klientów rozliczanych MD/kosztowo, „Imię Nazwisko — Tytuł rekrutacji” u pozostałych. Oba trzeba zastąpić prawdziwym numerem.</w:t>
      </w:r>
    </w:p>
    <w:p>
      <w:pPr>
        <w:pStyle w:val="Heading3"/>
      </w:pPr>
      <w:r>
        <w:t>Kiedy auto-szkic NIE powstaje (legalnie, z powodem)</w:t>
      </w:r>
    </w:p>
    <w:p>
      <w:pPr>
        <w:pStyle w:val="ListBullet"/>
      </w:pPr>
      <w:r>
        <w:rPr>
          <w:b/>
        </w:rPr>
        <w:t xml:space="preserve">open_group_line — </w:t>
      </w:r>
      <w:r>
        <w:t>osoba jest już obsadzona na otwartej linii zamówienia MD/kosztowego u tego klienta (sprawdzane jako pierwsze). Auto-szkic byłby drugim zapisem tej samej współpracy — następny krok to „edytuj linię”, nie „dodaj zamówienie”.</w:t>
      </w:r>
    </w:p>
    <w:p>
      <w:pPr>
        <w:pStyle w:val="ListBullet"/>
      </w:pPr>
      <w:r>
        <w:rPr>
          <w:b/>
        </w:rPr>
        <w:t xml:space="preserve">cost_client — </w:t>
      </w:r>
      <w:r>
        <w:t>klient kosztowy (Polkomtel). Hook nie zna typu zamówienia, więc nic nie zakłada.</w:t>
      </w:r>
    </w:p>
    <w:p>
      <w:r>
        <w:rPr>
          <w:b w:val="0"/>
          <w:i/>
          <w:color w:val="64748B"/>
        </w:rPr>
        <w:t>Uwaga: Cyfrowy Polsat jest jawnym wyjątkiem — jego standardowy typ nadal korzysta z auto-szkicu, a specjalne grupy kosztowe/MD zakłada operator osobno.</w:t>
      </w:r>
    </w:p>
    <w:p>
      <w:pPr>
        <w:pStyle w:val="Heading1"/>
      </w:pPr>
      <w:r>
        <w:t>3. Odczyt PDF — reguły parsowania per klient</w:t>
      </w:r>
    </w:p>
    <w:p>
      <w:r>
        <w:rPr>
          <w:b w:val="0"/>
          <w:i w:val="0"/>
        </w:rPr>
        <w:t>Przycisk „Zczytaj dane z dokumentu” podstawia wartości do formularza (samo dodanie pliku niczego nie wypełnia). System czyta: numer, okres, stawkę klienta, jednostkę stawki, wartość, walutę, MD. NIGDY nie odczyta stawki kosztowej (nie ma jej w dokumencie klienta) ani części umowy (e-Zdrowie).</w:t>
      </w:r>
    </w:p>
    <w:p>
      <w:pPr>
        <w:pStyle w:val="ListBullet"/>
      </w:pPr>
      <w:r>
        <w:t>13 polityk klienta w kodzie, każda bramkowana zmienną env (lista client_id); pusta lista = polityka wyłączona (fail-closed). Kill-switch całości: ORDER_EXTRACTION_ENABLED (domyślnie on).</w:t>
      </w:r>
    </w:p>
    <w:p>
      <w:pPr>
        <w:pStyle w:val="ListBullet"/>
      </w:pPr>
      <w:r>
        <w:t>Kolejność nakładania stała; Cardif ostatni; PFRON wygasza Erste, gdy oba aktywne u jednego klienta.</w:t>
      </w:r>
    </w:p>
    <w:p>
      <w:pPr>
        <w:pStyle w:val="ListBullet"/>
      </w:pPr>
      <w:r>
        <w:t>Orlen (ID 35) i PFRON (ID 122) mają dodatkowo kanoniczne ID na sztywno — działają nawet bez env.</w:t>
      </w:r>
    </w:p>
    <w:p>
      <w:pPr>
        <w:pStyle w:val="ListBullet"/>
      </w:pPr>
      <w:r>
        <w:t>Odczyt skanów: OCR tylko z pierwszych 10 stron. Bez AI działa odczyt awaryjny (zgrubny); numeru sam nie znajdzie poza klientami z regułą numeru (np. Nordea, Bank Pocztowy).</w:t>
      </w:r>
    </w:p>
    <w:p>
      <w:pPr>
        <w:pStyle w:val="Heading2"/>
      </w:pPr>
      <w:r>
        <w:t>Reguły odczytu — wszystkie 13 polityk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F46E5"/>
          </w:tcPr>
          <w:p>
            <w:r/>
            <w:r>
              <w:rPr>
                <w:b/>
                <w:color w:val="FFFFFF"/>
                <w:sz w:val="17"/>
              </w:rPr>
              <w:t>Klient (polityka)</w:t>
            </w:r>
          </w:p>
        </w:tc>
        <w:tc>
          <w:tcPr>
            <w:tcW w:type="dxa" w:w="2160"/>
            <w:shd w:val="clear" w:fill="4F46E5"/>
          </w:tcPr>
          <w:p>
            <w:r/>
            <w:r>
              <w:rPr>
                <w:b/>
                <w:color w:val="FFFFFF"/>
                <w:sz w:val="17"/>
              </w:rPr>
              <w:t>Numer</w:t>
            </w:r>
          </w:p>
        </w:tc>
        <w:tc>
          <w:tcPr>
            <w:tcW w:type="dxa" w:w="2160"/>
            <w:shd w:val="clear" w:fill="4F46E5"/>
          </w:tcPr>
          <w:p>
            <w:r/>
            <w:r>
              <w:rPr>
                <w:b/>
                <w:color w:val="FFFFFF"/>
                <w:sz w:val="17"/>
              </w:rPr>
              <w:t>Stawka / jednostka</w:t>
            </w:r>
          </w:p>
        </w:tc>
        <w:tc>
          <w:tcPr>
            <w:tcW w:type="dxa" w:w="2160"/>
            <w:shd w:val="clear" w:fill="4F46E5"/>
          </w:tcPr>
          <w:p>
            <w:r/>
            <w:r>
              <w:rPr>
                <w:b/>
                <w:color w:val="FFFFFF"/>
                <w:sz w:val="17"/>
              </w:rPr>
              <w:t>MD / okres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Nordea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wyłącznie „Call Off Agreement” (nigdy „Frame Agreement”)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normalnie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normalnie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Bank Pocztowy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„Numer pisma” → „Zamówienie nr”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netto/MD ÷8, w górę → godzinowa; widełki 80–300 zł/h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MD pomijane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Credit Agricole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„Zamówienie nr … z dnia”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wyłącznie „Wynagrodzenie za 1MD”; jednostka=dzień; odmowa gdy etykiety w jednym wierszu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MD z „Szacowana ilość MD”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BNP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ID konsultanta (nie nazwisko)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„Cena netto” → za 1 MD; jednostka=dzień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„Szt.” → MD; okres MM-RRRR; dokument jednoosobowy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Orlen (ID 35)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wspólna on/off-site tej samej osoby; wymaga wskazania osoby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MD z PDF zawsze pomijane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PFRON (ID 122)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brutto ÷1,23 → netto; jednostka=godzina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MD pomijane; koniec tylko z jawnej daty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Erste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„Zlecenie K/…”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brutto ÷1,23 → netto; jednostka=godzina; działa NA KOŃCU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okres „Zlecenie od/do”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PKO BP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„Zamówienie nr”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tabela Wykonawców; jednostka=dzień; 1 wiersz→wypełnia, wiele→czyści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MD z tabeli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KIR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„L.dz. KIR/…”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godzinowa (przelicznik/1MD ignorowany)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MD czyszczone; okres „od–do”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mLeasing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„Numer zamówienia DO/…”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z komórki pozycji; jednostka zależna od dokumentu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MD czyszczone; „Okres zatrudnienia”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VeloBank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„Zamówienie nr”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tabela „Dane wykonawców” per wiersz; dzień; kontrola Σ(MD×stawka)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każdy = osobne zamówienie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Alior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„Zamówienie nr: OIT/…”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„Razem stawka dla Banku”; jednostka=dzień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okres „czas oznaczony”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Cardif (BNP P. Cardif)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brak — identyfikator=data „Zamówienie z dnia”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„(… PLN/MD net.)”; jednostka=dzień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OKRESOWE — MD informacyjne, nie budżet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  <w:color w:val="64748B"/>
        </w:rPr>
        <w:t>Klienci rozpoznawani, ale BEZ własnej reguły (odczyt ogólny AI): Polkomtel, BIK, Cyfrowy Polsat, ergo, EY, Nationale-Nederlanden, RITS oraz każdy klient spoza list.</w:t>
      </w:r>
    </w:p>
    <w:p>
      <w:pPr>
        <w:pStyle w:val="Heading1"/>
      </w:pPr>
      <w:r>
        <w:t>4. Cykl życia statusu zamówienia</w:t>
      </w:r>
    </w:p>
    <w:p>
      <w:r>
        <w:rPr>
          <w:b w:val="0"/>
          <w:i w:val="0"/>
        </w:rPr>
        <w:t>Dwa byty mają osobne statusy: zamówienie pojedynczej osoby i grupa (zamówienie MD/kosztowe).</w:t>
      </w:r>
    </w:p>
    <w:p>
      <w:pPr>
        <w:pStyle w:val="Heading2"/>
      </w:pPr>
      <w:r>
        <w:t>Statusy</w:t>
      </w:r>
    </w:p>
    <w:p>
      <w:pPr>
        <w:pStyle w:val="ListBullet"/>
      </w:pPr>
      <w:r>
        <w:rPr>
          <w:b/>
        </w:rPr>
        <w:t xml:space="preserve">Zamówienie 1 osoby: </w:t>
      </w:r>
      <w:r>
        <w:t>draft · active · paused · completed · cancelled.</w:t>
      </w:r>
    </w:p>
    <w:p>
      <w:pPr>
        <w:pStyle w:val="ListBullet"/>
      </w:pPr>
      <w:r>
        <w:rPr>
          <w:b/>
        </w:rPr>
        <w:t xml:space="preserve">Grupa (MD/kosztowe): </w:t>
      </w:r>
      <w:r>
        <w:t>active · scheduled („Przyszłe”) · completed („Zakończone”) · exhausted („Wyczerpane”). Brak stanu „cancelled”.</w:t>
      </w:r>
    </w:p>
    <w:p>
      <w:pPr>
        <w:pStyle w:val="Heading2"/>
      </w:pPr>
      <w:r>
        <w:t>Przejścia — zamówienie pojedynczej osoby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F46E5"/>
          </w:tcPr>
          <w:p>
            <w:r/>
            <w:r>
              <w:rPr>
                <w:b/>
                <w:color w:val="FFFFFF"/>
                <w:sz w:val="19"/>
              </w:rPr>
              <w:t>Z → do</w:t>
            </w:r>
          </w:p>
        </w:tc>
        <w:tc>
          <w:tcPr>
            <w:tcW w:type="dxa" w:w="4320"/>
            <w:shd w:val="clear" w:fill="4F46E5"/>
          </w:tcPr>
          <w:p>
            <w:r/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448"/>
            <w:shd w:val="clear" w:fill="4F46E5"/>
          </w:tcPr>
          <w:p>
            <w:r/>
            <w:r>
              <w:rPr>
                <w:b/>
                <w:color w:val="FFFFFF"/>
                <w:sz w:val="19"/>
              </w:rPr>
              <w:t>Mechanizm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draft → active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komplet pól aktywacyjnych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zapis (create / PATCH)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draft → active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linia grupy: nadszedł start grupy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cron / wejście na zakładkę / zapis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active → completed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linia MD: budżet ≤ 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zapis (import MD / edycja / transfer)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completed → active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linia MD: budżet &gt; 0, data nie w przeszłości, brak następcy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zapis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active → completed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NIE-MD: data końca &lt; dziś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nocny cron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→ completed / cancelled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offboarding przy terminacji umowy (przyszłe → cancelled)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zapis / cron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active → completed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ręczne „Zakończ zamówienie”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zapis</w:t>
            </w:r>
          </w:p>
        </w:tc>
      </w:tr>
    </w:tbl>
    <w:p>
      <w:r>
        <w:rPr>
          <w:b w:val="0"/>
          <w:i/>
          <w:color w:val="64748B"/>
        </w:rPr>
        <w:t>Bramka aktywacji zamówienia: numer (≠ „(bez numeru)”) + data startu + stawka klienta + stawka kosztowa; dodatkowo per typ — kosztowe: kwota &gt; 0, MD: liczba MD &gt; 0. Data końca NIE jest wymagana (umowa bezterminowa to stan docelowy). „paused” nie jest nigdzie nadawany (patrz rekomendacje).</w:t>
      </w:r>
    </w:p>
    <w:p>
      <w:pPr>
        <w:pStyle w:val="Heading2"/>
      </w:pPr>
      <w:r>
        <w:t>Przejścia — grupa (MD / kosztowe)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4F46E5"/>
          </w:tcPr>
          <w:p>
            <w:r/>
            <w:r>
              <w:rPr>
                <w:b/>
                <w:color w:val="FFFFFF"/>
                <w:sz w:val="19"/>
              </w:rPr>
              <w:t>Z → do</w:t>
            </w:r>
          </w:p>
        </w:tc>
        <w:tc>
          <w:tcPr>
            <w:tcW w:type="dxa" w:w="6480"/>
            <w:shd w:val="clear" w:fill="4F46E5"/>
          </w:tcPr>
          <w:p>
            <w:r/>
            <w:r>
              <w:rPr>
                <w:b/>
                <w:color w:val="FFFFFF"/>
                <w:sz w:val="19"/>
              </w:rPr>
              <w:t>Trigger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scheduled → active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nadszedł start i poprzednik nie ma już budżetu MD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active → completed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zastąpiona następcą (materializer) albo ręczne „Zakończ”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active ⇄ exhausted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pula (koszt / wspólna MD) ≤ 0 albo odbudowana — w chwili zapisu, nie cron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completed → active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ręczne „Przywróć” (tylko ze stanu completed)</w:t>
            </w:r>
          </w:p>
        </w:tc>
      </w:tr>
    </w:tbl>
    <w:p>
      <w:pPr>
        <w:pStyle w:val="Heading2"/>
      </w:pPr>
      <w:r>
        <w:t>Który mechanizm robi które przejście</w:t>
      </w:r>
    </w:p>
    <w:p>
      <w:pPr>
        <w:pStyle w:val="ListBullet"/>
      </w:pPr>
      <w:r>
        <w:rPr>
          <w:b/>
        </w:rPr>
        <w:t xml:space="preserve">Nocny cron (raz/dobę od restartu): </w:t>
      </w:r>
      <w:r>
        <w:t>kontrakt active→ending→ended + kaskada offboardingu; umowa ramowa → expired; NIE-MD zamówienie → completed po dacie; materializacja grup; wskrzeszanie kontraktów.</w:t>
      </w:r>
    </w:p>
    <w:p>
      <w:pPr>
        <w:pStyle w:val="ListBullet"/>
      </w:pPr>
      <w:r>
        <w:rPr>
          <w:b/>
        </w:rPr>
        <w:t xml:space="preserve">W chwili zapisu: </w:t>
      </w:r>
      <w:r>
        <w:t>awans szkicu; budżet→0 / rewitalizacja; ręczne close/reopen; synchronizacja kontrakt↔zamówienie.</w:t>
      </w:r>
    </w:p>
    <w:p>
      <w:pPr>
        <w:pStyle w:val="ListBullet"/>
      </w:pPr>
      <w:r>
        <w:rPr>
          <w:b/>
        </w:rPr>
        <w:t xml:space="preserve">Przy wejściu na zakładkę (GET): </w:t>
      </w:r>
      <w:r>
        <w:t>materializacja grup (scheduled→active, active→completed) odpala się też przy każdym otwarciu „Zamówień”, nie tylko w cronie.</w:t>
      </w:r>
    </w:p>
    <w:p>
      <w:pPr>
        <w:pStyle w:val="Heading1"/>
      </w:pPr>
      <w:r>
        <w:t>5. Alerty Delivery Leada</w:t>
      </w:r>
    </w:p>
    <w:p>
      <w:r>
        <w:rPr>
          <w:b w:val="0"/>
          <w:i w:val="0"/>
        </w:rPr>
        <w:t>W kodzie są DWA niezależne systemy powiadomień, o różnym routingu i różnej bramce. To rozróżnienie tłumaczy większość pytań „dlaczego nie dostaję alertu”.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4F46E5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320"/>
            <w:shd w:val="clear" w:fill="4F46E5"/>
          </w:tcPr>
          <w:p>
            <w:r/>
            <w:r>
              <w:rPr>
                <w:b/>
                <w:color w:val="FFFFFF"/>
                <w:sz w:val="19"/>
              </w:rPr>
              <w:t>Dzwonek (notifications)</w:t>
            </w:r>
          </w:p>
        </w:tc>
        <w:tc>
          <w:tcPr>
            <w:tcW w:type="dxa" w:w="3456"/>
            <w:shd w:val="clear" w:fill="4F46E5"/>
          </w:tcPr>
          <w:p>
            <w:r/>
            <w:r>
              <w:rPr>
                <w:b/>
                <w:color w:val="FFFFFF"/>
                <w:sz w:val="19"/>
              </w:rPr>
              <w:t>Pulpit DL (dl_alerts)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Routing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admini globalnie + DL przypisani do klienta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WYŁĄCZNIE DL przypisani (bez adminów)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Kill-switch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brak (skanery dzwonka nie sprawdzają flagi)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DL_ALERTS_ENABLED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Powtórki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każdy próg raz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 7 dni jako nowy wpis (część) / raz (część)</w:t>
            </w:r>
          </w:p>
        </w:tc>
      </w:tr>
    </w:tbl>
    <w:p>
      <w:pPr>
        <w:pStyle w:val="Heading3"/>
      </w:pPr>
      <w:r>
        <w:t>Dzwonek — progi</w:t>
      </w:r>
    </w:p>
    <w:p>
      <w:pPr>
        <w:pStyle w:val="ListBullet"/>
      </w:pPr>
      <w:r>
        <w:t>Koniec zamówienia: 30 / 14 / 7 dni przed datą.</w:t>
      </w:r>
    </w:p>
    <w:p>
      <w:pPr>
        <w:pStyle w:val="ListBullet"/>
      </w:pPr>
      <w:r>
        <w:t>Umowa ramowa z klientem: 30 / 14 / 7 dni.</w:t>
      </w:r>
    </w:p>
    <w:p>
      <w:pPr>
        <w:pStyle w:val="ListBullet"/>
      </w:pPr>
      <w:r>
        <w:t>Umowa z konsultantem: 90 / 60 / 30 / 14 / 7 dni (+ zbiorcze podsumowanie na Slacka, gdy skonfigurowane).</w:t>
      </w:r>
    </w:p>
    <w:p>
      <w:pPr>
        <w:pStyle w:val="ListBullet"/>
      </w:pPr>
      <w:r>
        <w:t>Dokumenty compliance (NIP/OC/ZUS): 30 dni. Sprzęt do zwrotu: 14 dni.</w:t>
      </w:r>
    </w:p>
    <w:p>
      <w:pPr>
        <w:pStyle w:val="Heading3"/>
      </w:pPr>
      <w:r>
        <w:t>Pulpit DL — sprawy do załatwienia</w:t>
      </w:r>
    </w:p>
    <w:p>
      <w:pPr>
        <w:pStyle w:val="ListBullet"/>
      </w:pPr>
      <w:r>
        <w:t>Bez zamówienia (zamówienie w statusie Draft) — powtórka co 7 dni.</w:t>
      </w:r>
    </w:p>
    <w:p>
      <w:pPr>
        <w:pStyle w:val="ListBullet"/>
      </w:pPr>
      <w:r>
        <w:t>Brak stawki przychodowej na aktywnym zamówieniu — co 7 dni.</w:t>
      </w:r>
    </w:p>
    <w:p>
      <w:pPr>
        <w:pStyle w:val="ListBullet"/>
      </w:pPr>
      <w:r>
        <w:t>Mało MD (≤ 15; próg globalny, per-klient zabroniony w configu) — co 7 dni.</w:t>
      </w:r>
    </w:p>
    <w:p>
      <w:pPr>
        <w:pStyle w:val="ListBullet"/>
      </w:pPr>
      <w:r>
        <w:t>Wyczerpane (budżet kosztowy albo wspólna pula MD → 0) — raz.</w:t>
      </w:r>
    </w:p>
    <w:p>
      <w:pPr>
        <w:pStyle w:val="ListBullet"/>
      </w:pPr>
      <w:r>
        <w:t>Decyzja MD po zakończeniu współpracy — raz, nieodklikywalny do rozstrzygnięcia.</w:t>
      </w:r>
    </w:p>
    <w:p>
      <w:r>
        <w:rPr>
          <w:b w:val="0"/>
          <w:i/>
          <w:color w:val="64748B"/>
        </w:rPr>
        <w:t>Różnica per typ zamówienia: zwykłe MD/osoba → „mało MD”; wspólna pula (Lotte Wedel, Cyfrowy Polsat) → „mało MD” z puli + „wyczerpane”; zamówienie KOSZTOWE → BRAK wczesnego ostrzeżenia, tylko „wyczerpane” po fakcie (jedyny wcześniejszy sygnał to filtr „Bliskie wyczerpania budżetu ≥80%”).</w:t>
      </w:r>
    </w:p>
    <w:p>
      <w:pPr>
        <w:pStyle w:val="Heading1"/>
      </w:pPr>
      <w:r>
        <w:t>6. Powiązanie z modułem Kontrakty</w:t>
      </w:r>
    </w:p>
    <w:p>
      <w:r>
        <w:rPr>
          <w:b w:val="0"/>
          <w:i w:val="0"/>
        </w:rPr>
        <w:t>Zamówienie i kontrakt to dwa byty; kontrakt opisuje parę osoba × klient. Pięć punktów synchronizacji:</w:t>
      </w:r>
    </w:p>
    <w:p>
      <w:pPr>
        <w:pStyle w:val="ListBullet"/>
      </w:pPr>
      <w:r>
        <w:rPr>
          <w:b/>
        </w:rPr>
        <w:t xml:space="preserve">Umowa → Zamówienia (koniec daty): </w:t>
      </w:r>
      <w:r>
        <w:t>koniec umowy SKRACA otwarte zamówienia i anuluje przyszłe. Wyłącznie skracanie; B2BGeneratedContract nietknięty.</w:t>
      </w:r>
    </w:p>
    <w:p>
      <w:pPr>
        <w:pStyle w:val="ListBullet"/>
      </w:pPr>
      <w:r>
        <w:rPr>
          <w:b/>
        </w:rPr>
        <w:t xml:space="preserve">Umowa → Zamówienia (terminacja): </w:t>
      </w:r>
      <w:r>
        <w:t>wypowiedzenie domyka WSZYSTKIE zamówienia kontraktu; przy MD otwiera decyzję o niewykorzystanej puli.</w:t>
      </w:r>
    </w:p>
    <w:p>
      <w:pPr>
        <w:pStyle w:val="ListBullet"/>
      </w:pPr>
      <w:r>
        <w:rPr>
          <w:b/>
        </w:rPr>
        <w:t xml:space="preserve">Zamówienie → Umowa (wskrzeszenie): </w:t>
      </w:r>
      <w:r>
        <w:t>aktywne zamówienie obejmujące dziś wskrzesza zakończoną umowę — jako BEZTERMINOWĄ (nocny cron jej nie re-kończy).</w:t>
      </w:r>
    </w:p>
    <w:p>
      <w:pPr>
        <w:pStyle w:val="ListBullet"/>
      </w:pPr>
      <w:r>
        <w:rPr>
          <w:b/>
        </w:rPr>
        <w:t xml:space="preserve">Zakładka „Zakończeni”: </w:t>
      </w:r>
      <w:r>
        <w:t>decyduje UMOWA (status + data końca), NIGDY sam upływ okresu zamówienia. Osoba bez zamówienia, a z żywą umową → dopisek „Brak aktywnego zamówienia”.</w:t>
      </w:r>
    </w:p>
    <w:p>
      <w:pPr>
        <w:pStyle w:val="ListBullet"/>
      </w:pPr>
      <w:r>
        <w:rPr>
          <w:b/>
        </w:rPr>
        <w:t xml:space="preserve">Offboarding — decyzja MD: </w:t>
      </w:r>
      <w:r>
        <w:t>remove (pula per-linia przepada), transfer (przeliczona na inną osobę), restore (pula nietknięta, linia i kontrakt wracają).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7. Tabela per klient</w:t>
      </w:r>
    </w:p>
    <w:p>
      <w:r>
        <w:rPr>
          <w:b w:val="0"/>
          <w:i/>
          <w:color w:val="64748B"/>
        </w:rPr>
        <w:t>Poziom automatyzacji nie jest binarny — rozkłada się na kilka osi (auto-szkic po zatrudnieniu, własna reguła odczytu PDF, import zużycia, import CSV/mail). „Reguła PDF: własna” oznacza kod polityki w repo; jej faktyczne WŁĄCZENIE zależy od zmiennej env (patrz rekomendacje).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944"/>
            <w:shd w:val="clear" w:fill="4F46E5"/>
          </w:tcPr>
          <w:p>
            <w:r/>
            <w:r>
              <w:rPr>
                <w:b/>
                <w:color w:val="FFFFFF"/>
                <w:sz w:val="16"/>
              </w:rPr>
              <w:t>Klient</w:t>
            </w:r>
          </w:p>
        </w:tc>
        <w:tc>
          <w:tcPr>
            <w:tcW w:type="dxa" w:w="2880"/>
            <w:shd w:val="clear" w:fill="4F46E5"/>
          </w:tcPr>
          <w:p>
            <w:r/>
            <w:r>
              <w:rPr>
                <w:b/>
                <w:color w:val="FFFFFF"/>
                <w:sz w:val="16"/>
              </w:rPr>
              <w:t>Źródło danych</w:t>
            </w:r>
          </w:p>
        </w:tc>
        <w:tc>
          <w:tcPr>
            <w:tcW w:type="dxa" w:w="2952"/>
            <w:shd w:val="clear" w:fill="4F46E5"/>
          </w:tcPr>
          <w:p>
            <w:r/>
            <w:r>
              <w:rPr>
                <w:b/>
                <w:color w:val="FFFFFF"/>
                <w:sz w:val="16"/>
              </w:rPr>
              <w:t>Poziom automatyzacji</w:t>
            </w:r>
          </w:p>
        </w:tc>
        <w:tc>
          <w:tcPr>
            <w:tcW w:type="dxa" w:w="3096"/>
            <w:shd w:val="clear" w:fill="4F46E5"/>
          </w:tcPr>
          <w:p>
            <w:r/>
            <w:r>
              <w:rPr>
                <w:b/>
                <w:color w:val="FFFFFF"/>
                <w:sz w:val="16"/>
              </w:rPr>
              <w:t>Reguła parsowania PDF</w:t>
            </w:r>
          </w:p>
        </w:tc>
        <w:tc>
          <w:tcPr>
            <w:tcW w:type="dxa" w:w="2448"/>
            <w:shd w:val="clear" w:fill="4F46E5"/>
          </w:tcPr>
          <w:p>
            <w:r/>
            <w:r>
              <w:rPr>
                <w:b/>
                <w:color w:val="FFFFFF"/>
                <w:sz w:val="16"/>
              </w:rPr>
              <w:t>Zamówienia domyślne</w:t>
            </w:r>
          </w:p>
        </w:tc>
        <w:tc>
          <w:tcPr>
            <w:tcW w:type="dxa" w:w="2088"/>
            <w:shd w:val="clear" w:fill="4F46E5"/>
          </w:tcPr>
          <w:p>
            <w:r/>
            <w:r>
              <w:rPr>
                <w:b/>
                <w:color w:val="FFFFFF"/>
                <w:sz w:val="16"/>
              </w:rPr>
              <w:t>Alerty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Polkomtel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ręcznie + import MD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ogólna · auto-szkic: NIE (kosztowy)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ogólny odczyt AI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brak (klient kosztowy)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 + mało MD (MD) / wyczerpane (koszt)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BIK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(MD) + import MD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ogólna · auto-szkic: tak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ogólny odczyt AI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 (o ile nie na linii grupy)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 + mało MD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BNP Paribas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(MD) + import MD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 · auto-szkic: tak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bnp — dokument jednoosobowy, ID konsultanta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 (o ile nie na linii grupy)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 + mało MD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Cyfrowy Polsat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(std) + grupy ręcznie + import MD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ogólna · auto-szkic: tak (std) · wspólna pula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ogólny odczyt AI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 standardowy; grupy MD/koszt ręcznie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 + wspólna pula (mało MD + wyczerpane)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Lotte Wedel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ręcznie (MD/koszt) + import MD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ogólna · wspólna pula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ogólny odczyt AI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grupy MD/koszt ręcznie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 + wspólna pula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Nordea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import CSV (admin)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numeru PDF + import CSV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nordea — „Call Off Agreement”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 (okresowe)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Bank Pocztowy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bank_pocztowy — netto/MD ÷8 → godzinowa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Credit Agricole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credit_agricole — „Wynagrodzenie za 1MD”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Erste Bank Polska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erste — brutto ÷1,23 → godzinowa (na końcu)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Orlen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(mail: manual-only)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 (ID 35, zawsze)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orlen — wspólna stawka on/off-site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PFRON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 (ID 122, zawsze)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pfron — brutto ÷1,23 → godzinowa; MD pomijane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Centrum e-Zdrowia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ogólna · obowiązkowa część umowy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ogólny odczyt AI (część umowy ręcznie)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 (wymaga części umowy)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Alior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alior — „Razem stawka dla Banku”, dzień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PKO BP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pko_bp — tabela Wykonawców, dzień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KIR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kir — stawka godzinowa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mLeasing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mleasing — komórka pozycji, jednostka z dok.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VeloBank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velobank — każdy = osobne zamówienie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Cardif (BNP P. Cardif)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własna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cardif — okresowe, data zamiast numeru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5"/>
              </w:rPr>
              <w:t>Pozostali / recognize-only</w:t>
              <w:br/>
              <w:t>(ergo, EY, NN, RITS…)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auto-szkic + ręcznie + mail</w:t>
            </w:r>
          </w:p>
        </w:tc>
        <w:tc>
          <w:tcPr>
            <w:tcW w:type="dxa" w:w="2952"/>
          </w:tcPr>
          <w:p>
            <w:r/>
            <w:r>
              <w:rPr>
                <w:sz w:val="15"/>
              </w:rPr>
              <w:t>reguła PDF: ogólna</w:t>
            </w:r>
          </w:p>
        </w:tc>
        <w:tc>
          <w:tcPr>
            <w:tcW w:type="dxa" w:w="3096"/>
          </w:tcPr>
          <w:p>
            <w:r/>
            <w:r>
              <w:rPr>
                <w:sz w:val="15"/>
              </w:rPr>
              <w:t>ogólny odczyt AI</w:t>
            </w:r>
          </w:p>
        </w:tc>
        <w:tc>
          <w:tcPr>
            <w:tcW w:type="dxa" w:w="2448"/>
          </w:tcPr>
          <w:p>
            <w:r/>
            <w:r>
              <w:rPr>
                <w:sz w:val="15"/>
              </w:rPr>
              <w:t>auto-szkic (o ile nie kosztowy/na linii)</w:t>
            </w:r>
          </w:p>
        </w:tc>
        <w:tc>
          <w:tcPr>
            <w:tcW w:type="dxa" w:w="2088"/>
          </w:tcPr>
          <w:p>
            <w:r/>
            <w:r>
              <w:rPr>
                <w:sz w:val="15"/>
              </w:rPr>
              <w:t>std (+ mało MD gdy MD)</w:t>
            </w:r>
          </w:p>
        </w:tc>
      </w:tr>
    </w:tbl>
    <w:p>
      <w:pPr>
        <w:sectPr>
          <w:pgSz w:w="16834" w:h="11909" w:orient="landscape"/>
          <w:pgMar w:top="1440" w:right="720" w:bottom="144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8. Wnioski i rekomendacje</w:t>
      </w:r>
    </w:p>
    <w:p>
      <w:pPr>
        <w:pStyle w:val="Heading2"/>
      </w:pPr>
      <w:r>
        <w:t>A. Framing i nazewnictwo</w:t>
      </w:r>
    </w:p>
    <w:p>
      <w:pPr>
        <w:pStyle w:val="ListBullet"/>
      </w:pPr>
      <w:r>
        <w:rPr>
          <w:b/>
        </w:rPr>
        <w:t xml:space="preserve">„Poziom automatyzacji” to cztery osie, nie „auto/ręcznie”. </w:t>
      </w:r>
      <w:r>
        <w:t>Rozbić w dokumentacji i UI na: auto-tworzenie szkicu po zatrudnieniu, własna reguła odczytu PDF, import zużycia MD/kosztów, import CSV/mail. Pierwotny podział z zadania mylił te osie — Polkomtel figurował jako „w pełni automatyczny”, a nie ma ani auto-szkicu, ani reguły PDF; Cyfrowy Polsat „automatyczny” nie ma reguły PDF; Nordea i Bank Pocztowy „bez automatyzacji” mają reguły PDF.</w:t>
      </w:r>
    </w:p>
    <w:p>
      <w:pPr>
        <w:pStyle w:val="Heading2"/>
      </w:pPr>
      <w:r>
        <w:t>B. Reconcile instrukcji ↔ kod (wykonane w tym audycie)</w:t>
      </w:r>
    </w:p>
    <w:p>
      <w:pPr>
        <w:pStyle w:val="ListBullet"/>
      </w:pPr>
      <w:r>
        <w:rPr>
          <w:b/>
        </w:rPr>
        <w:t xml:space="preserve">Dopisano 6 sekcji klientów do instrukcji DL. </w:t>
      </w:r>
      <w:r>
        <w:t>PKO BP, KIR, mLeasing, VeloBank, Cardif miały reguły w kodzie, ale nie w instrukcji; sekcja Alior mówiła „brak reguły”, gdy w kodzie jest reguła (OIT / „Razem stawka dla Banku”).</w:t>
      </w:r>
    </w:p>
    <w:p>
      <w:pPr>
        <w:pStyle w:val="ListBullet"/>
      </w:pPr>
      <w:r>
        <w:rPr>
          <w:b/>
        </w:rPr>
        <w:t xml:space="preserve">Poprawiono drift dok↔kod w CLAUDE.md. </w:t>
      </w:r>
      <w:r>
        <w:t>ACTIVATION_REQUIRED_FIELDS w kodzie to 4 pola (start_date, rate_candidate, rate_client, contract_type) — bez „work_mode”, które błędnie deklarowała dokumentacja.</w:t>
      </w:r>
    </w:p>
    <w:p>
      <w:pPr>
        <w:pStyle w:val="ListBullet"/>
      </w:pPr>
      <w:r>
        <w:rPr>
          <w:b/>
        </w:rPr>
        <w:t xml:space="preserve">Instrukcja przestemplowana na dziś. </w:t>
      </w:r>
      <w:r>
        <w:t>Guard świeżości (test + stempel) potwierdza tylko, że ktoś zajrzał po zmianie źródła — nie że opisał wszystkich klientów; dlatego luka przetrwała do 09-04. Rekomendacja: dołożyć do przeglądu checklistę „każda polityka z registry.py ma sekcję w instrukcji”.</w:t>
      </w:r>
    </w:p>
    <w:p>
      <w:pPr>
        <w:pStyle w:val="Heading2"/>
      </w:pPr>
      <w:r>
        <w:t>C. Realne bugi / ryzyka (osobne fixy)</w:t>
      </w:r>
    </w:p>
    <w:p>
      <w:pPr>
        <w:pStyle w:val="ListBullet"/>
      </w:pPr>
      <w:r>
        <w:rPr>
          <w:b/>
        </w:rPr>
        <w:t xml:space="preserve">[SKORYGOWANE 2026-09-08] enforce_consultant_policy_safety czyści stawkę po no-matchu — to ZAMIERZONE zabezpieczenie, nie bug. </w:t>
      </w:r>
      <w:r>
        <w:t>Pierwotny audyt zgłaszał to jako P1 („deterministyczny parser istnieje właśnie dla tej sytuacji, więc enforce niesłusznie kasuje stawkę”) i błędnie jako „niepokryte testami”. Weryfikacja przy próbie fixu (PR zamknięty) pokazała, że jest odwrotnie: dokument może dotyczyć INNEJ osoby niż wybrany kandydat, a wtedy zastosowanie jego stawki byłoby błędem. Pokrywa to istniejący test test_target_policy_safety_stays_fail_closed_after_no_match (bank_pocztowy + credit_agricole). Realny, węższy problem — poprawna stawka czyszczona przy false-negative matchera na WARIANCIE nazwy TEJ SAMEJ osoby — należy naprawić w dopasowaniu nazwisk matchera, nie przez obejście enforce. To osobna, ostrożna zmiana.</w:t>
      </w:r>
    </w:p>
    <w:p>
      <w:pPr>
        <w:pStyle w:val="ListBullet"/>
      </w:pPr>
      <w:r>
        <w:rPr>
          <w:b/>
        </w:rPr>
        <w:t xml:space="preserve">Dzwonek order/framework liczy datę w UTC (date.today()) zamiast business_today(). </w:t>
      </w:r>
      <w:r>
        <w:t>Przesunięcie progu o dobę względem promocji statusów, które używają business_today().</w:t>
      </w:r>
    </w:p>
    <w:p>
      <w:pPr>
        <w:pStyle w:val="ListBullet"/>
      </w:pPr>
      <w:r>
        <w:rPr>
          <w:b/>
        </w:rPr>
        <w:t xml:space="preserve">Dzwonek order/framework: dopasowanie DOKŁADNE (end_date == target), bez okna. </w:t>
      </w:r>
      <w:r>
        <w:t>Opuszczona doba crona (Coolify restartuje kontener przy każdym pushu) = próg pominięty NA STAŁE. Skaner umów używa okna (target-1, target] właśnie po to; te dwa skanery są niespójne.</w:t>
      </w:r>
    </w:p>
    <w:p>
      <w:pPr>
        <w:pStyle w:val="ListBullet"/>
      </w:pPr>
      <w:r>
        <w:rPr>
          <w:b/>
        </w:rPr>
        <w:t xml:space="preserve">Przedłużone zamówienie nie uzbraja ponownie progów 30/14/7 na dzwonku. </w:t>
      </w:r>
      <w:r>
        <w:t>Brak episode-aware dedup (w przeciwieństwie do alertów umów).</w:t>
      </w:r>
    </w:p>
    <w:p>
      <w:pPr>
        <w:pStyle w:val="ListBullet"/>
      </w:pPr>
      <w:r>
        <w:rPr>
          <w:b/>
        </w:rPr>
        <w:t xml:space="preserve">Klient bez przypisanego DL → alerty PULPITU przepadają (naprawione — PR #1394). </w:t>
      </w:r>
      <w:r>
        <w:t>Emisja idzie do pustej listy; cost_order_exhausted / wspólna pula bez reconcile → utrata bezpowrotna. Backstop reconcile_exhausted_group_budget_alerts dostarcza alert po przypisaniu DL (zamiast zmiany routingu na admina — decyzja produktowa).</w:t>
      </w:r>
    </w:p>
    <w:p>
      <w:pPr>
        <w:pStyle w:val="ListBullet"/>
      </w:pPr>
      <w:r>
        <w:rPr>
          <w:b/>
        </w:rPr>
        <w:t xml:space="preserve">„paused” to stan martwy. </w:t>
      </w:r>
      <w:r>
        <w:t>Zdefiniowany w enumie, ale żadna ścieżka go nie nadaje — usunąć albo udokumentować jako zarezerwowany.</w:t>
      </w:r>
    </w:p>
    <w:p>
      <w:pPr>
        <w:pStyle w:val="ListBullet"/>
      </w:pPr>
      <w:r>
        <w:rPr>
          <w:b/>
        </w:rPr>
        <w:t xml:space="preserve">close_order_group nie ogranicza statusu wejściowego. </w:t>
      </w:r>
      <w:r>
        <w:t>Ścieżka scheduled → completed → reopen → active OBCHODZI bramkę „nie aktywuj przyszłej grupy przed startem”.</w:t>
      </w:r>
    </w:p>
    <w:p>
      <w:pPr>
        <w:pStyle w:val="ListBullet"/>
      </w:pPr>
      <w:r>
        <w:rPr>
          <w:b/>
        </w:rPr>
        <w:t xml:space="preserve">Rozjazd: zamknięcie grupy MD z niewykorzystaną pulą zamraża ją BEZ decyzji. </w:t>
      </w:r>
      <w:r>
        <w:t>Ta sama sytuacja przez terminację umowy otwiera workflow remove/transfer/restore. Różna obsługa tego samego faktu.</w:t>
      </w:r>
    </w:p>
    <w:p>
      <w:pPr>
        <w:pStyle w:val="ListBullet"/>
      </w:pPr>
      <w:r>
        <w:rPr>
          <w:b/>
        </w:rPr>
        <w:t xml:space="preserve">Grupy nie mają stanu „cancelled”. </w:t>
      </w:r>
      <w:r>
        <w:t>Brak symetrii do „anuluj przyszłe zamówienie przed startem” (dla zamówień 1-os. jest cancelled).</w:t>
      </w:r>
    </w:p>
    <w:p>
      <w:pPr>
        <w:pStyle w:val="ListBullet"/>
      </w:pPr>
      <w:r>
        <w:rPr>
          <w:b/>
        </w:rPr>
        <w:t xml:space="preserve">Zamówienie kosztowe nie ma wczesnego ostrzeżenia budżetu. </w:t>
      </w:r>
      <w:r>
        <w:t>Tylko alert po wyczerpaniu. Rozważyć próg procentowy analogiczny do „mało MD”.</w:t>
      </w:r>
    </w:p>
    <w:p>
      <w:pPr>
        <w:pStyle w:val="ListBullet"/>
      </w:pPr>
      <w:r>
        <w:rPr>
          <w:b/>
        </w:rPr>
        <w:t xml:space="preserve">Orlen de facto manual-only w ścieżce mailowej. </w:t>
      </w:r>
      <w:r>
        <w:t>Brak NIP/markera/domeny w rozpoznaniu + requires_target → polityka nie odpala się w mailu.</w:t>
      </w:r>
    </w:p>
    <w:p>
      <w:pPr>
        <w:pStyle w:val="Heading2"/>
      </w:pPr>
      <w:r>
        <w:t>D. Kandydaci do unifikacji</w:t>
      </w:r>
    </w:p>
    <w:p>
      <w:pPr>
        <w:pStyle w:val="ListBullet"/>
      </w:pPr>
      <w:r>
        <w:rPr>
          <w:b/>
        </w:rPr>
        <w:t xml:space="preserve">Dwa systemy powiadomień (dzwonek vs pulpit). </w:t>
      </w:r>
      <w:r>
        <w:t>Różny routing i bramka: pulpit ma kill-switch DL_ALERTS_ENABLED, dzwonek żadnego. Rozważyć wspólny kill-switch i wspólny fallback dla klienta bez przypisanego DL.</w:t>
      </w:r>
    </w:p>
    <w:p>
      <w:pPr>
        <w:pStyle w:val="ListBullet"/>
      </w:pPr>
      <w:r>
        <w:rPr>
          <w:b/>
        </w:rPr>
        <w:t xml:space="preserve">„Status lag” — część przejść cron-only, część przy zapisie, część przy wejściu na zakładkę. </w:t>
      </w:r>
      <w:r>
        <w:t>Udokumentować jednolicie albo ujednolicić trigger, żeby rejestr i cron nie rozjeżdżały się o dobę.</w:t>
      </w:r>
    </w:p>
    <w:p>
      <w:pPr>
        <w:pStyle w:val="ListBullet"/>
      </w:pPr>
      <w:r>
        <w:rPr>
          <w:b/>
        </w:rPr>
        <w:t xml:space="preserve">Aktywacja polityk PDF jest env-driven i NIEweryfikowalna z kodu. </w:t>
      </w:r>
      <w:r>
        <w:t>Każda z 13 polityk (poza kanonicznymi ID Orlen/PFRON) zależy od zmiennej *_CLIENT_IDS w Coolify; audyt nie potwierdza, które są włączone na produkcji. Rekomendacja: udokumentować aktualny stan env albo wystawić go w panelu admina.</w:t>
      </w:r>
    </w:p>
    <w:p>
      <w:pPr>
        <w:pStyle w:val="Heading2"/>
      </w:pPr>
      <w:r>
        <w:t>Zakres świadomie pominięty</w:t>
      </w:r>
    </w:p>
    <w:p>
      <w:r>
        <w:rPr>
          <w:b w:val="0"/>
          <w:i w:val="0"/>
        </w:rPr>
        <w:t>Ten audyt opisuje ZACHOWANIE kodu na 2026-09-07. Nie obejmuje: (a) potwierdzenia, które zmienne *_CLIENT_IDS są ustawione na produkcji (env, poza kodem), (b) danych historycznych zamówień, (c) implementacji rekomendowanych fixów — te są osobnymi zadaniami.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/>
          <w:color w:val="64748B"/>
        </w:rPr>
        <w:t>— Koniec dokumentu —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