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0" w:line="240" w:lineRule="auto"/>
      </w:pPr>
      <w:r>
        <w:rPr>
          <w:rFonts w:ascii="Calibri" w:hAnsi="Calibri" w:eastAsia="Calibri"/>
          <w:b/>
          <w:i w:val="0"/>
          <w:color w:val="1F3A5F"/>
          <w:sz w:val="40"/>
        </w:rPr>
        <w:t>PROFIL CHAMPIONA</w:t>
      </w:r>
      <w:r>
        <w:rPr>
          <w:rFonts w:ascii="Calibri" w:hAnsi="Calibri" w:eastAsia="Calibri"/>
          <w:b w:val="0"/>
          <w:i/>
          <w:color w:val="0F766E"/>
          <w:sz w:val="22"/>
        </w:rPr>
        <w:t xml:space="preserve">   Brief do rekrutacji i rozmowy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9"/>
        <w:gridCol w:w="2761"/>
        <w:gridCol w:w="2169"/>
        <w:gridCol w:w="2761"/>
      </w:tblGrid>
      <w:tr>
        <w:trPr>
          <w:trHeight w:val="567" w:hRule="atLeast"/>
          <w:cantSplit/>
        </w:trPr>
        <w:tc>
          <w:tcPr>
            <w:tcW w:type="dxa" w:w="21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Klient (wymagane)</w:t>
            </w:r>
          </w:p>
        </w:tc>
        <w:tc>
          <w:tcPr>
            <w:tcW w:type="dxa" w:w="27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21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Nazwa roli i poziom (wymagane)</w:t>
            </w:r>
          </w:p>
        </w:tc>
        <w:tc>
          <w:tcPr>
            <w:tcW w:type="dxa" w:w="27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21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Delivery Lead — wymagany</w:t>
            </w:r>
          </w:p>
        </w:tc>
        <w:tc>
          <w:tcPr>
            <w:tcW w:type="dxa" w:w="27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21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Data i wersja profilu — wymagane</w:t>
            </w:r>
          </w:p>
        </w:tc>
        <w:tc>
          <w:tcPr>
            <w:tcW w:type="dxa" w:w="27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680" w:hRule="atLeast"/>
          <w:cantSplit/>
        </w:trPr>
        <w:tc>
          <w:tcPr>
            <w:tcW w:type="dxa" w:w="21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Rozmowy źródłowe</w:t>
              <w:br/>
              <w:t>osoba i data</w:t>
            </w:r>
          </w:p>
        </w:tc>
        <w:tc>
          <w:tcPr>
            <w:tcW w:type="dxa" w:w="76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gridSpan w:val="3"/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keepNext w:val="0"/>
        <w:spacing w:before="60" w:after="6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Wypełniaj białe pola potwierdzonymi ustaleniami. Zachowaj nazwy rubryk i układ tabel. Puste pole oznacza brak potwierdzonych danych; 0 oznacza zero. Dane wymagane ustal przed przekazaniem do searchu. W źródłach podaj rozmówcę i datę rozmowy.</w:t>
      </w:r>
    </w:p>
    <w:p>
      <w:pPr>
        <w:keepNext/>
        <w:keepLines/>
        <w:pBdr>
          <w:top w:val="single" w:color="1F3A5F" w:sz="4" w:space="5"/>
          <w:bottom w:val="single" w:color="1F3A5F" w:sz="4" w:space="5"/>
          <w:left w:val="single" w:color="1F3A5F" w:sz="4" w:space="5"/>
          <w:right w:val="single" w:color="1F3A5F" w:sz="4" w:space="5"/>
        </w:pBdr>
        <w:shd w:fill="1F3A5F" w:color="auto" w:val="clear"/>
        <w:spacing w:after="120" w:before="180"/>
      </w:pPr>
      <w:r>
        <w:rPr>
          <w:rFonts w:ascii="Calibri" w:hAnsi="Calibri" w:eastAsia="Calibri"/>
          <w:b/>
          <w:i w:val="0"/>
          <w:color w:val="FFFFFF"/>
          <w:sz w:val="26"/>
        </w:rPr>
        <w:t>1. PODSTAWOWE INFORMACJE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5"/>
        <w:gridCol w:w="2465"/>
        <w:gridCol w:w="2465"/>
        <w:gridCol w:w="2465"/>
      </w:tblGrid>
      <w:tr>
        <w:trPr>
          <w:trHeight w:val="680" w:hRule="atLeast"/>
          <w:cantSplit/>
        </w:trPr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Minimum lat doświadczenia</w:t>
              <w:br/>
              <w:t>łącznie w IT; pełne lata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Maks. stawka kandydata (PLN/h)</w:t>
              <w:br/>
              <w:t>wymagana; jedna liczba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680" w:hRule="atLeast"/>
          <w:cantSplit/>
        </w:trPr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Tryb pracy — wymagany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Dni w biurze na tydzień</w:t>
              <w:br/>
              <w:t>liczba całkowita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680" w:hRule="atLeast"/>
          <w:cantSplit/>
        </w:trPr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Lokalizacja biura</w:t>
              <w:br/>
              <w:t>uzgodnione miasto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Język pracy i poziom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624" w:hRule="atLeast"/>
          <w:cantSplit/>
        </w:trPr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Start</w:t>
              <w:br/>
              <w:t>konkretna data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Deadline na kandydatów</w:t>
              <w:br/>
              <w:t>konkretna data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Długość kontraktu</w:t>
              <w:br/>
              <w:t>liczba i jednostka czasu</w:t>
            </w:r>
          </w:p>
        </w:tc>
        <w:tc>
          <w:tcPr>
            <w:tcW w:type="dxa" w:w="73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gridSpan w:val="3"/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keepNext w:val="0"/>
        <w:spacing w:before="60" w:after="4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Stawka: jedna liczba w PLN/h, bez widełek. Tryb: wpisz tylko zdalnie, hybrydowo albo stacjonarnie. Dni: liczba całkowita 0–7; 0 tylko przy braku obowiązku obecności. Przy biurze lub hybrydzie podaj dni i uzgodnione miasto biura. Daty: RRRR-MM-DD. Język: nazwa i poziom. Lata w roli lub branży opisz w obowiązkach.</w:t>
      </w:r>
    </w:p>
    <w:p>
      <w:pPr>
        <w:keepNext/>
        <w:keepLines/>
        <w:pBdr>
          <w:top w:val="single" w:color="1F3A5F" w:sz="4" w:space="5"/>
          <w:bottom w:val="single" w:color="1F3A5F" w:sz="4" w:space="5"/>
          <w:left w:val="single" w:color="1F3A5F" w:sz="4" w:space="5"/>
          <w:right w:val="single" w:color="1F3A5F" w:sz="4" w:space="5"/>
        </w:pBdr>
        <w:shd w:fill="1D4ED8" w:color="auto" w:val="clear"/>
        <w:spacing w:after="120" w:before="180"/>
      </w:pPr>
      <w:r>
        <w:rPr>
          <w:rFonts w:ascii="Calibri" w:hAnsi="Calibri" w:eastAsia="Calibri"/>
          <w:b/>
          <w:i w:val="0"/>
          <w:color w:val="FFFFFF"/>
          <w:sz w:val="26"/>
        </w:rPr>
        <w:t>2. CO WPISAĆ (SEARCH)</w:t>
      </w:r>
    </w:p>
    <w:p>
      <w:pPr>
        <w:keepNext w:val="0"/>
        <w:spacing w:before="0" w:after="8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Frazy i firmy rozdzielaj przecinkami. Dyskwalifikatory zapisuj pojedynczo, jako sprawdzalne warunki. Brak informacji w CV wymaga sprawdzenia; nie oznacza potwierdzonego braku kompetencji.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51"/>
        <w:gridCol w:w="6409"/>
      </w:tblGrid>
      <w:tr>
        <w:trPr>
          <w:trHeight w:val="624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AF0FD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Kluczowe słowa do wyszukiwania: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624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AF0FD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Firmy docelowe: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907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AF0FD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Kogo odrzucamy od razu — potwierdzone deal breakery: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1134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AF0FD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Uwagi / plan działania — kryteria DL i dopuszczalne braki: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keepNext/>
        <w:keepLines/>
        <w:pageBreakBefore/>
        <w:pBdr>
          <w:top w:val="single" w:color="1F3A5F" w:sz="4" w:space="5"/>
          <w:bottom w:val="single" w:color="1F3A5F" w:sz="4" w:space="5"/>
          <w:left w:val="single" w:color="1F3A5F" w:sz="4" w:space="5"/>
          <w:right w:val="single" w:color="1F3A5F" w:sz="4" w:space="5"/>
        </w:pBdr>
        <w:shd w:fill="B45309" w:color="auto" w:val="clear"/>
        <w:spacing w:after="120" w:before="0"/>
      </w:pPr>
      <w:r>
        <w:rPr>
          <w:rFonts w:ascii="Calibri" w:hAnsi="Calibri" w:eastAsia="Calibri"/>
          <w:b/>
          <w:i w:val="0"/>
          <w:color w:val="FFFFFF"/>
          <w:sz w:val="26"/>
        </w:rPr>
        <w:t>3. STACK TECHNOLOGICZNY</w:t>
      </w:r>
    </w:p>
    <w:p>
      <w:pPr>
        <w:keepNext w:val="0"/>
        <w:spacing w:before="0" w:after="10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Jedna technologia, narzędzie lub metodyka w osobnym wierszu; ważna wersja przy nazwie. Każdy MUST jest wymagany, NICE jest opcjonalny. W tych dwóch polach nie wpisuj zdań, „brak”, „nie dotyczy” ani „do ustalenia”. Jeśli nie ma NICE, zostaw pole puste.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58"/>
        <w:gridCol w:w="6902"/>
      </w:tblGrid>
      <w:tr>
        <w:trPr>
          <w:trHeight w:val="1247" w:hRule="atLeast"/>
          <w:cantSplit/>
        </w:trPr>
        <w:tc>
          <w:tcPr>
            <w:tcW w:type="dxa" w:w="2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BEEDC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MUST-HAVE:</w:t>
            </w:r>
          </w:p>
        </w:tc>
        <w:tc>
          <w:tcPr>
            <w:tcW w:type="dxa" w:w="69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1077" w:hRule="atLeast"/>
          <w:cantSplit/>
        </w:trPr>
        <w:tc>
          <w:tcPr>
            <w:tcW w:type="dxa" w:w="2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BEEDC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NICE-TO-HAVE:</w:t>
            </w:r>
          </w:p>
        </w:tc>
        <w:tc>
          <w:tcPr>
            <w:tcW w:type="dxa" w:w="69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1304" w:hRule="atLeast"/>
          <w:cantSplit/>
        </w:trPr>
        <w:tc>
          <w:tcPr>
            <w:tcW w:type="dxa" w:w="2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BEEDC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Uwagi / niuanse wersji, zakresu i alternatywy:</w:t>
            </w:r>
          </w:p>
        </w:tc>
        <w:tc>
          <w:tcPr>
            <w:tcW w:type="dxa" w:w="69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keepNext w:val="0"/>
        <w:spacing w:before="100" w:after="12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Gdy wystarczy jedna z alternatyw, opisz je w uwagach jako „wystarczy jedna z: …” i sprawdź ich interpretację w NEXUSIE. Nie wpisuj alternatyw jako dwóch obowiązkowych MUST. Do handoffu potrzebny jest rzeczywisty MUST; jeśli go nie ma, uzgodnij dalszy tryb pracy z DL.</w:t>
      </w:r>
    </w:p>
    <w:p>
      <w:pPr>
        <w:keepNext w:val="0"/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Opis projektu: maksymalnie dwa zdania o celu, fazie, skali i zespole. Obowiązki: 3–5 krótkich punktów o zadaniach, wyzwaniach oraz wymaganym doświadczeniu w roli lub branży. Informacje konieczne do oceny CV wpisz tutaj lub w MUST/NICE, nie wyłącznie w uwagach.</w:t>
      </w:r>
    </w:p>
    <w:p>
      <w:pPr>
        <w:keepNext/>
        <w:keepLines/>
        <w:pBdr>
          <w:top w:val="single" w:color="1F3A5F" w:sz="4" w:space="5"/>
          <w:bottom w:val="single" w:color="1F3A5F" w:sz="4" w:space="5"/>
          <w:left w:val="single" w:color="1F3A5F" w:sz="4" w:space="5"/>
          <w:right w:val="single" w:color="1F3A5F" w:sz="4" w:space="5"/>
        </w:pBdr>
        <w:shd w:fill="0F766E" w:color="auto" w:val="clear"/>
        <w:spacing w:after="120" w:before="180"/>
      </w:pPr>
      <w:r>
        <w:rPr>
          <w:rFonts w:ascii="Calibri" w:hAnsi="Calibri" w:eastAsia="Calibri"/>
          <w:b/>
          <w:i w:val="0"/>
          <w:color w:val="FFFFFF"/>
          <w:sz w:val="26"/>
        </w:rPr>
        <w:t>4. O PROJEKCIE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0"/>
      </w:tblGrid>
      <w:tr>
        <w:trPr>
          <w:trHeight w:val="1928" w:hRule="atLeast"/>
          <w:cantSplit/>
        </w:trPr>
        <w:tc>
          <w:tcPr>
            <w:tcW w:type="dxa" w:w="98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</w:tbl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58"/>
        <w:gridCol w:w="6902"/>
      </w:tblGrid>
      <w:tr>
        <w:trPr>
          <w:trHeight w:val="3345" w:hRule="atLeast"/>
          <w:cantSplit/>
        </w:trPr>
        <w:tc>
          <w:tcPr>
            <w:tcW w:type="dxa" w:w="2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DFF1E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Obowiązki na stanowisku — zadania i wyzwania pierwszych 3 miesięcy:</w:t>
            </w:r>
          </w:p>
        </w:tc>
        <w:tc>
          <w:tcPr>
            <w:tcW w:type="dxa" w:w="69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keepNext/>
        <w:keepLines/>
        <w:pageBreakBefore/>
        <w:pBdr>
          <w:top w:val="single" w:color="1F3A5F" w:sz="4" w:space="5"/>
          <w:bottom w:val="single" w:color="1F3A5F" w:sz="4" w:space="5"/>
          <w:left w:val="single" w:color="1F3A5F" w:sz="4" w:space="5"/>
          <w:right w:val="single" w:color="1F3A5F" w:sz="4" w:space="5"/>
        </w:pBdr>
        <w:shd w:fill="15803D" w:color="auto" w:val="clear"/>
        <w:spacing w:after="120" w:before="0"/>
      </w:pPr>
      <w:r>
        <w:rPr>
          <w:rFonts w:ascii="Calibri" w:hAnsi="Calibri" w:eastAsia="Calibri"/>
          <w:b/>
          <w:i w:val="0"/>
          <w:color w:val="FFFFFF"/>
          <w:sz w:val="26"/>
        </w:rPr>
        <w:t>5. SCREENING</w:t>
      </w:r>
    </w:p>
    <w:p>
      <w:pPr>
        <w:keepNext w:val="0"/>
        <w:spacing w:before="0" w:after="10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Uzupełnij co najmniej dwa wiersze; trzeci jest opcjonalny. W lewym polu wpisz jedno pytanie. W prawym podaj oczekiwane elementy odpowiedzi i konkretny warunek dyskwalifikacji. Usuń cały niewykorzystany wiersz. Rzeczywiste odpowiedzi kandydata zapisuj osobno w NEXUSIE.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40"/>
        <w:gridCol w:w="5620"/>
      </w:tblGrid>
      <w:tr>
        <w:trPr>
          <w:trHeight w:val="510" w:hRule="atLeast"/>
          <w:cantSplit/>
          <w:tblHeader/>
        </w:trPr>
        <w:tc>
          <w:tcPr>
            <w:tcW w:type="dxa" w:w="42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4F2E8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Pytania od Delivery Leada:</w:t>
            </w:r>
          </w:p>
        </w:tc>
        <w:tc>
          <w:tcPr>
            <w:tcW w:type="dxa" w:w="56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4F2E8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Sugerowane odpowiedzi</w:t>
            </w:r>
          </w:p>
        </w:tc>
      </w:tr>
      <w:tr>
        <w:trPr>
          <w:trHeight w:val="1361" w:hRule="atLeast"/>
          <w:cantSplit/>
        </w:trPr>
        <w:tc>
          <w:tcPr>
            <w:tcW w:type="dxa" w:w="42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56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Idealna odpowiedź:</w:t>
              <w:br/>
              <w:br/>
              <w:t>Deal breaker:</w:t>
            </w:r>
          </w:p>
        </w:tc>
      </w:tr>
      <w:tr>
        <w:trPr>
          <w:trHeight w:val="1361" w:hRule="atLeast"/>
          <w:cantSplit/>
        </w:trPr>
        <w:tc>
          <w:tcPr>
            <w:tcW w:type="dxa" w:w="42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56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Idealna odpowiedź:</w:t>
              <w:br/>
              <w:br/>
              <w:t>Deal breaker:</w:t>
            </w:r>
          </w:p>
        </w:tc>
      </w:tr>
      <w:tr>
        <w:trPr>
          <w:trHeight w:val="1361" w:hRule="atLeast"/>
          <w:cantSplit/>
        </w:trPr>
        <w:tc>
          <w:tcPr>
            <w:tcW w:type="dxa" w:w="42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56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Idealna odpowiedź:</w:t>
              <w:br/>
              <w:br/>
              <w:t>Deal breaker:</w:t>
            </w:r>
          </w:p>
        </w:tc>
      </w:tr>
    </w:tbl>
    <w:p>
      <w:pPr>
        <w:keepNext/>
        <w:keepLines/>
        <w:pBdr>
          <w:top w:val="single" w:color="1F3A5F" w:sz="4" w:space="5"/>
          <w:bottom w:val="single" w:color="1F3A5F" w:sz="4" w:space="5"/>
          <w:left w:val="single" w:color="1F3A5F" w:sz="4" w:space="5"/>
          <w:right w:val="single" w:color="1F3A5F" w:sz="4" w:space="5"/>
        </w:pBdr>
        <w:shd w:fill="6D28D9" w:color="auto" w:val="clear"/>
        <w:spacing w:after="120" w:before="180"/>
      </w:pPr>
      <w:r>
        <w:rPr>
          <w:rFonts w:ascii="Calibri" w:hAnsi="Calibri" w:eastAsia="Calibri"/>
          <w:b/>
          <w:i w:val="0"/>
          <w:color w:val="FFFFFF"/>
          <w:sz w:val="26"/>
        </w:rPr>
        <w:t>6. O KLIENCIE</w:t>
      </w:r>
    </w:p>
    <w:p>
      <w:pPr>
        <w:keepNext w:val="0"/>
        <w:spacing w:before="0" w:after="10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Wpisuj ustalenia dotyczące tej roli. Insight oprzyj na rozmowie z konsultantem, a pytania historyczne na przebytych rozmowach z klientem. Nieznane informacje pozostaw puste. Podawaj wyłącznie potwierdzone atuty i warunki oferty.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51"/>
        <w:gridCol w:w="6409"/>
      </w:tblGrid>
      <w:tr>
        <w:trPr>
          <w:trHeight w:val="1191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EE8FA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Co przekona kandydata do tej oferty: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1191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EE8FA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Insight od naszego konsultanta u klienta: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1077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EE8FA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Historyczne pytania klienta: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keepNext w:val="0"/>
        <w:spacing w:before="120" w:after="40" w:line="252" w:lineRule="auto"/>
      </w:pPr>
      <w:r>
        <w:rPr>
          <w:rFonts w:ascii="Calibri" w:hAnsi="Calibri" w:eastAsia="Calibri"/>
          <w:b/>
          <w:i w:val="0"/>
          <w:color w:val="374151"/>
          <w:sz w:val="18"/>
        </w:rPr>
        <w:t>Uwagi / standardy klienta i dokumenty:</w:t>
      </w:r>
    </w:p>
    <w:p>
      <w:pPr>
        <w:keepNext w:val="0"/>
        <w:spacing w:before="0" w:after="8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Standardy, dokumenty i reguły CV utrzymuj w karcie klienta. Po imporcie porównaj z Wordem: MUST/NICE, alternatywy, stawkę, tryb, dni i miasto biura oraz pytania. Popraw rozbieżności przed użyciem. Ponowny import nie zastępuje istniejącego profilu; zmiany zapisz też w edytorze NEXUSA. Do CV wybieraj zweryfikowany profil rekrutacji.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51"/>
        <w:gridCol w:w="6409"/>
      </w:tblGrid>
      <w:tr>
        <w:trPr>
          <w:trHeight w:val="567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Za prep odpowiada</w:t>
              <w:br/>
              <w:t>ustalona osoba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680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Ostatnia zmiana</w:t>
              <w:br/>
              <w:t>data, co i dlaczego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</w:tbl>
    <w:sectPr>
      <w:footerReference w:type="default" r:id="rId7"/>
      <w:pgSz w:w="11906" w:h="16838" w:orient="portrait"/>
      <w:pgMar w:top="740" w:right="1023" w:bottom="680" w:left="10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0"/>
        <w:i w:val="0"/>
        <w:color w:val="6B7280"/>
        <w:sz w:val="16"/>
        <w:szCs w:val="16"/>
      </w:rPr>
      <w:t xml:space="preserve">Profil Championa · wzór v4.0 · DYNAMINDS  —  strona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 Championa — wzór v3 lite</dc:title>
  <dc:creator>DYNAMINDS</dc:creator>
  <cp:lastModifiedBy>Un-named</cp:lastModifiedBy>
  <cp:revision>1</cp:revision>
  <dcterms:created xsi:type="dcterms:W3CDTF">2026-09-09T15:48:51.820Z</dcterms:created>
  <dcterms:modified xsi:type="dcterms:W3CDTF">2026-09-09T15:48:51.836Z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