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/>
          <w:sz w:val="20"/>
          <w:szCs w:val="20"/>
        </w:rPr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z dniem {{ contract.start_date | pl_date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zwaną dalej „Administratorem” </w:t>
        <w:br/>
        <w:br/>
        <w:t>a</w:t>
        <w:br/>
        <w:br/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  <w:tr>
        <w:tc>
          <w:tcPr>
            <w:tcW w:type="dxa" w:w="3703"/>
          </w:tcPr>
          <w:p>
            <w:r>
              <w:t>Szczegółowy zakres Usług:</w:t>
            </w:r>
          </w:p>
        </w:tc>
        <w:tc>
          <w:tcPr>
            <w:tcW w:type="dxa" w:w="5363"/>
          </w:tcPr>
          <w:p>
            <w:r>
              <w:t>{%p for it in b2b.scope_items %}</w:t>
            </w:r>
          </w:p>
          <w:p>
            <w:r>
              <w:t>•  {{ it }}</w:t>
            </w:r>
          </w:p>
          <w:p>
            <w:r>
              <w:t>{%p endfor %}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