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 w:line="240" w:lineRule="auto"/>
      </w:pPr>
      <w:r>
        <w:rPr>
          <w:rFonts w:ascii="Calibri" w:hAnsi="Calibri" w:eastAsia="Calibri"/>
          <w:b/>
          <w:i w:val="0"/>
          <w:color w:val="1F3A5F"/>
          <w:sz w:val="40"/>
        </w:rPr>
        <w:t>PROFIL CHAMPIONA</w:t>
      </w:r>
      <w:r>
        <w:rPr>
          <w:rFonts w:ascii="Calibri" w:hAnsi="Calibri" w:eastAsia="Calibri"/>
          <w:b w:val="0"/>
          <w:i/>
          <w:color w:val="0F766E"/>
          <w:sz w:val="22"/>
        </w:rPr>
        <w:t xml:space="preserve">   Brief do rekrutacji i rozmowy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9"/>
        <w:gridCol w:w="2761"/>
        <w:gridCol w:w="2169"/>
        <w:gridCol w:w="2761"/>
      </w:tblGrid>
      <w:tr>
        <w:trPr>
          <w:trHeight w:val="567" w:hRule="atLeast"/>
          <w:cantSplit/>
        </w:trPr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Klient (wymagane)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Klient testowy</w:t>
            </w:r>
          </w:p>
        </w:tc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Nazwa roli i poziom (wymagane)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Senior Java Developer</w:t>
            </w:r>
          </w:p>
        </w:tc>
      </w:tr>
      <w:tr>
        <w:trPr>
          <w:trHeight w:val="567" w:hRule="atLeast"/>
          <w:cantSplit/>
        </w:trPr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Delivery Lead — wymagany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Delivery Lead</w:t>
            </w:r>
          </w:p>
        </w:tc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Data i wersja profilu — wymagane</w:t>
            </w:r>
          </w:p>
        </w:tc>
        <w:tc>
          <w:tcPr>
            <w:tcW w:type="dxa" w:w="276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10.09.2026 / 1</w:t>
            </w:r>
          </w:p>
        </w:tc>
      </w:tr>
      <w:tr>
        <w:trPr>
          <w:trHeight w:val="680" w:hRule="atLeast"/>
          <w:cantSplit/>
        </w:trPr>
        <w:tc>
          <w:tcPr>
            <w:tcW w:type="dxa" w:w="21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Rozmowy źródłowe</w:t>
              <w:br/>
              <w:t>osoba i data</w:t>
            </w:r>
          </w:p>
        </w:tc>
        <w:tc>
          <w:tcPr>
            <w:tcW w:type="dxa" w:w="769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gridSpan w:val="3"/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/>
            <w:r>
              <w:t>Manager klienta — 2026-09-09; konsultant zespołu — 2026-09-10</w:t>
            </w:r>
          </w:p>
        </w:tc>
      </w:tr>
    </w:tbl>
    <w:p>
      <w:pPr>
        <w:keepNext w:val="0"/>
        <w:spacing w:before="60" w:after="6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Wypełniaj białe pola potwierdzonymi ustaleniami. Zachowaj nazwy rubryk i układ tabel. Puste pole oznacza brak potwierdzonych danych; 0 oznacza zero. Dane wymagane ustal przed przekazaniem do searchu. W źródłach podaj rozmówcę i datę rozmowy.</w:t>
      </w:r>
    </w:p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1F3A5F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1. PODSTAWOWE INFORMACJE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5"/>
        <w:gridCol w:w="2465"/>
        <w:gridCol w:w="2465"/>
        <w:gridCol w:w="2465"/>
      </w:tblGrid>
      <w:tr>
        <w:trPr>
          <w:trHeight w:val="680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Minimum lat doświadczenia</w:t>
              <w:br/>
              <w:t>łącznie w IT; pełne lata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5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Maks. stawka kandydata (PLN/h)</w:t>
              <w:br/>
              <w:t>wymagana; jedna liczba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150</w:t>
            </w:r>
          </w:p>
        </w:tc>
      </w:tr>
      <w:tr>
        <w:trPr>
          <w:trHeight w:val="680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Tryb pracy — wymagany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hybrydowo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Dni w biurze na tydzień</w:t>
              <w:br/>
              <w:t>liczba całkowita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2</w:t>
            </w:r>
          </w:p>
        </w:tc>
      </w:tr>
      <w:tr>
        <w:trPr>
          <w:trHeight w:val="680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Lokalizacja biura</w:t>
              <w:br/>
              <w:t>uzgodnione miasto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Warszawa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Język pracy i poziom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PL i EN B2</w:t>
            </w:r>
          </w:p>
        </w:tc>
      </w:tr>
      <w:tr>
        <w:trPr>
          <w:trHeight w:val="624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Start</w:t>
              <w:br/>
              <w:t>konkretna data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/>
            <w:r>
              <w:t>2026-10-01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Deadline na kandydatów</w:t>
              <w:br/>
              <w:t>konkretna data</w:t>
            </w:r>
          </w:p>
        </w:tc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/>
            <w:r>
              <w:t>2026-09-18</w:t>
            </w:r>
          </w:p>
        </w:tc>
      </w:tr>
      <w:tr>
        <w:trPr>
          <w:trHeight w:val="567" w:hRule="atLeast"/>
          <w:cantSplit/>
        </w:trPr>
        <w:tc>
          <w:tcPr>
            <w:tcW w:type="dxa" w:w="24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Długość kontraktu</w:t>
              <w:br/>
              <w:t>liczba i jednostka czasu</w:t>
            </w:r>
          </w:p>
        </w:tc>
        <w:tc>
          <w:tcPr>
            <w:tcW w:type="dxa" w:w="739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gridSpan w:val="3"/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12 miesięcy</w:t>
              <w:br/>
              <w:br/>
            </w:r>
          </w:p>
        </w:tc>
      </w:tr>
    </w:tbl>
    <w:p>
      <w:pPr>
        <w:keepNext w:val="0"/>
        <w:spacing w:before="60" w:after="4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Stawka: jedna liczba w PLN/h, bez widełek. Tryb: wpisz tylko zdalnie, hybrydowo albo stacjonarnie. Dni: liczba całkowita 0–7; 0 tylko przy braku obowiązku obecności. Przy biurze lub hybrydzie podaj dni i uzgodnione miasto biura. Daty: RRRR-MM-DD. Język: nazwa i poziom. Lata w roli lub branży opisz w obowiązkach.</w:t>
      </w:r>
    </w:p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1D4ED8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2. CO WPISAĆ (SEARCH)</w:t>
      </w:r>
    </w:p>
    <w:p>
      <w:pPr>
        <w:keepNext w:val="0"/>
        <w:spacing w:before="0" w:after="8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Frazy i firmy rozdzielaj przecinkami. Dyskwalifikatory zapisuj pojedynczo, jako sprawdzalne warunki. Brak informacji w CV wymaga sprawdzenia; nie oznacza potwierdzonego braku kompetencji.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1"/>
        <w:gridCol w:w="6409"/>
      </w:tblGrid>
      <w:tr>
        <w:trPr>
          <w:trHeight w:val="624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Kluczowe słowa do wyszukiwania: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Senior Java Developer, bankowość, płatności</w:t>
            </w:r>
          </w:p>
        </w:tc>
      </w:tr>
      <w:tr>
        <w:trPr>
          <w:trHeight w:val="624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Firmy docelowe: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Firmy z sektora płatności i bankowości</w:t>
            </w:r>
          </w:p>
        </w:tc>
      </w:tr>
      <w:tr>
        <w:trPr>
          <w:trHeight w:val="907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Kogo odrzucamy od razu — potwierdzone deal breakery: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Potwierdzony brak możliwości pracy dwa dni w biurze. Brak doświadczenia przy systemach transakcyjnych.</w:t>
            </w:r>
          </w:p>
        </w:tc>
      </w:tr>
      <w:tr>
        <w:trPr>
          <w:trHeight w:val="1134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AF0FD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Uwagi / plan działania — kryteria DL i dopuszczalne braki: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Kryteria kluczowe: samodzielne projektowanie API, znajomość systemów transakcyjnych, współpraca z biznesem. Akceptujemy brak doświadczenia z chmurą AWS.</w:t>
            </w:r>
          </w:p>
        </w:tc>
      </w:tr>
    </w:tbl>
    <w:p>
      <w:pPr>
        <w:keepNext/>
        <w:keepLines/>
        <w:pageBreakBefore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B45309" w:color="auto" w:val="clear"/>
        <w:spacing w:after="120" w:before="0"/>
      </w:pPr>
      <w:r>
        <w:rPr>
          <w:rFonts w:ascii="Calibri" w:hAnsi="Calibri" w:eastAsia="Calibri"/>
          <w:b/>
          <w:i w:val="0"/>
          <w:color w:val="FFFFFF"/>
          <w:sz w:val="26"/>
        </w:rPr>
        <w:t>3. STACK TECHNOLOGICZNY</w:t>
      </w:r>
    </w:p>
    <w:p>
      <w:pPr>
        <w:keepNext w:val="0"/>
        <w:spacing w:before="0" w:after="10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Jedna technologia, narzędzie lub metodyka w osobnym wierszu; ważna wersja przy nazwie. Każdy MUST jest wymagany, NICE jest opcjonalny. W tych dwóch polach nie wpisuj zdań, „brak”, „nie dotyczy” ani „do ustalenia”. Jeśli nie ma NICE, zostaw pole puste.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8"/>
        <w:gridCol w:w="6902"/>
      </w:tblGrid>
      <w:tr>
        <w:trPr>
          <w:trHeight w:val="1247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MUST-HAVE: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/>
            <w:r>
              <w:t>Java 17</w:t>
              <w:br/>
              <w:t>Spring Boot</w:t>
              <w:br/>
              <w:t>Kafka</w:t>
            </w:r>
          </w:p>
        </w:tc>
      </w:tr>
      <w:tr>
        <w:trPr>
          <w:trHeight w:val="1077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NICE-TO-HAVE: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/>
            <w:r/>
            <w:r/>
          </w:p>
        </w:tc>
      </w:tr>
      <w:tr>
        <w:trPr>
          <w:trHeight w:val="1304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BEEDC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Uwagi / niuanse wersji, zakresu i alternatywy: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Java od wersji 17; praktyczna praca z API. Chmura AWS i Kubernetes są opcjonalne.</w:t>
            </w:r>
          </w:p>
        </w:tc>
      </w:tr>
    </w:tbl>
    <w:p>
      <w:pPr>
        <w:keepNext w:val="0"/>
        <w:spacing w:before="100" w:after="12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Gdy wystarczy jedna z alternatyw, opisz je w uwagach jako „wystarczy jedna z: …” i sprawdź ich interpretację w NEXUSIE. Nie wpisuj alternatyw jako dwóch obowiązkowych MUST. Do handoffu potrzebny jest rzeczywisty MUST; jeśli go nie ma, uzgodnij dalszy tryb pracy z DL.</w:t>
      </w:r>
    </w:p>
    <w:p>
      <w:pPr>
        <w:keepNext w:val="0"/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Opis projektu: maksymalnie dwa zdania o celu, fazie, skali i zespole. Obowiązki: 3–5 krótkich punktów o zadaniach, wyzwaniach oraz wymaganym doświadczeniu w roli lub branży. Informacje konieczne do oceny CV wpisz tutaj lub w MUST/NICE, nie wyłącznie w uwagach.</w:t>
      </w:r>
    </w:p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0F766E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4. O PROJEKCIE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0"/>
      </w:tblGrid>
      <w:tr>
        <w:trPr>
          <w:trHeight w:val="1928" w:hRule="atLeast"/>
          <w:cantSplit/>
        </w:trPr>
        <w:tc>
          <w:tcPr>
            <w:tcW w:type="dxa" w:w="98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Rozwijamy platformę płatności dla banku obsługującą dwa miliony klientów, a celem jest skrócenie czasu realizacji przelewów i usprawnienie integracji. W zespole jest osiem osób pracujących w Scrumie, z raportowaniem do lidera technicznego i spotkaniami po angielsku.</w:t>
            </w:r>
          </w:p>
        </w:tc>
      </w:tr>
    </w:tbl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8"/>
        <w:gridCol w:w="6902"/>
      </w:tblGrid>
      <w:tr>
        <w:trPr>
          <w:trHeight w:val="3345" w:hRule="atLeast"/>
          <w:cantSplit/>
        </w:trPr>
        <w:tc>
          <w:tcPr>
            <w:tcW w:type="dxa" w:w="29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DFF1E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Obowiązki na stanowisku — zadania i wyzwania pierwszych 3 miesięcy:</w:t>
            </w:r>
          </w:p>
        </w:tc>
        <w:tc>
          <w:tcPr>
            <w:tcW w:type="dxa" w:w="69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Projektowanie i rozwijanie API płatniczych, przeglądy kodu i współpraca z analitykami. W pierwszych trzech miesiącach przejęcie dwóch integracji, zaplanowanie migracji i wdrożenie monitorowania błędów.</w:t>
            </w:r>
          </w:p>
        </w:tc>
      </w:tr>
    </w:tbl>
    <w:p>
      <w:pPr>
        <w:keepNext/>
        <w:keepLines/>
        <w:pageBreakBefore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15803D" w:color="auto" w:val="clear"/>
        <w:spacing w:after="120" w:before="0"/>
      </w:pPr>
      <w:r>
        <w:rPr>
          <w:rFonts w:ascii="Calibri" w:hAnsi="Calibri" w:eastAsia="Calibri"/>
          <w:b/>
          <w:i w:val="0"/>
          <w:color w:val="FFFFFF"/>
          <w:sz w:val="26"/>
        </w:rPr>
        <w:t>5. SCREENING</w:t>
      </w:r>
    </w:p>
    <w:p>
      <w:pPr>
        <w:keepNext w:val="0"/>
        <w:spacing w:before="0" w:after="10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Uzupełnij co najmniej dwa wiersze; trzeci jest opcjonalny. W lewym polu wpisz jedno pytanie. W prawym podaj oczekiwane elementy odpowiedzi i konkretny warunek dyskwalifikacji. Usuń cały niewykorzystany wiersz. Rzeczywiste odpowiedzi kandydata zapisuj osobno w NEXUSIE.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0"/>
        <w:gridCol w:w="5620"/>
      </w:tblGrid>
      <w:tr>
        <w:trPr>
          <w:trHeight w:val="510" w:hRule="atLeast"/>
          <w:cantSplit/>
          <w:tblHeader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4F2E8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Pytania od Delivery Leada:</w:t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4F2E8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Sugerowane odpowiedzi</w:t>
            </w:r>
          </w:p>
        </w:tc>
      </w:tr>
      <w:tr>
        <w:trPr>
          <w:trHeight w:val="1361" w:hRule="atLeast"/>
          <w:cantSplit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Pytanie 1: Jak zaplanowałeś migrację systemu płatności?</w:t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Idealna odpowiedź: Kolejność etapów, ryzyka, testy i plan wycofania.</w:t>
              <w:br/>
              <w:br/>
              <w:t>Deal breaker: Brak własnego udziału w opisanej migracji.</w:t>
            </w:r>
          </w:p>
        </w:tc>
      </w:tr>
      <w:tr>
        <w:trPr>
          <w:trHeight w:val="1361" w:hRule="atLeast"/>
          <w:cantSplit/>
        </w:trPr>
        <w:tc>
          <w:tcPr>
            <w:tcW w:type="dxa" w:w="424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Pytanie 2: Jak zapewniasz odporność API na duplikaty zdarzeń?</w:t>
            </w:r>
          </w:p>
        </w:tc>
        <w:tc>
          <w:tcPr>
            <w:tcW w:type="dxa" w:w="56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Idealna odpowiedź: Opis idempotencji, kluczy i obsługi ponowień.</w:t>
              <w:br/>
              <w:br/>
              <w:t>Deal breaker: Brak rozumienia problemu podwójnego wykonania.</w:t>
            </w:r>
          </w:p>
        </w:tc>
      </w:tr>
    </w:tbl>
    <w:p>
      <w:pPr>
        <w:keepNext/>
        <w:keepLines/>
        <w:pBdr>
          <w:top w:val="single" w:color="1F3A5F" w:sz="4" w:space="5"/>
          <w:bottom w:val="single" w:color="1F3A5F" w:sz="4" w:space="5"/>
          <w:left w:val="single" w:color="1F3A5F" w:sz="4" w:space="5"/>
          <w:right w:val="single" w:color="1F3A5F" w:sz="4" w:space="5"/>
        </w:pBdr>
        <w:shd w:fill="6D28D9" w:color="auto" w:val="clear"/>
        <w:spacing w:after="120" w:before="180"/>
      </w:pPr>
      <w:r>
        <w:rPr>
          <w:rFonts w:ascii="Calibri" w:hAnsi="Calibri" w:eastAsia="Calibri"/>
          <w:b/>
          <w:i w:val="0"/>
          <w:color w:val="FFFFFF"/>
          <w:sz w:val="26"/>
        </w:rPr>
        <w:t>6. O KLIENCIE</w:t>
      </w:r>
    </w:p>
    <w:p>
      <w:pPr>
        <w:keepNext w:val="0"/>
        <w:spacing w:before="0" w:after="10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Wpisuj ustalenia dotyczące tej roli. Insight oprzyj na rozmowie z konsultantem, a pytania historyczne na przebytych rozmowach z klientem. Nieznane informacje pozostaw puste. Podawaj wyłącznie potwierdzone atuty i warunki oferty.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1"/>
        <w:gridCol w:w="6409"/>
      </w:tblGrid>
      <w:tr>
        <w:trPr>
          <w:trHeight w:val="1191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EE8FA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Co przekona kandydata do tej oferty: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Wpływ na architekturę płatności, duża skala i stabilny zespół. Przedłużenie współpracy jest możliwe, ale wymaga osobnej decyzji klienta.</w:t>
            </w:r>
          </w:p>
        </w:tc>
      </w:tr>
      <w:tr>
        <w:trPr>
          <w:trHeight w:val="1191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EE8FA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Insight od naszego konsultanta u klienta: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Manager oczekuje konkretnych przykładów decyzji technicznych. Rozmowa trwa godzinę; zespół ceni samodzielność i klarowną komunikację.</w:t>
            </w:r>
          </w:p>
        </w:tc>
      </w:tr>
      <w:tr>
        <w:trPr>
          <w:trHeight w:val="1077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EE8FA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Historyczne pytania klienta: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Jak zapewnić idempotencję przelewów? Jak przeprowadzić migrację bez przerwy w obsłudze?</w:t>
            </w:r>
          </w:p>
        </w:tc>
      </w:tr>
    </w:tbl>
    <w:p>
      <w:pPr>
        <w:keepNext w:val="0"/>
        <w:spacing w:before="120" w:after="40" w:line="252" w:lineRule="auto"/>
      </w:pPr>
      <w:r>
        <w:rPr>
          <w:rFonts w:ascii="Calibri" w:hAnsi="Calibri" w:eastAsia="Calibri"/>
          <w:b/>
          <w:i w:val="0"/>
          <w:color w:val="374151"/>
          <w:sz w:val="18"/>
        </w:rPr>
        <w:t>Uwagi / standardy klienta i dokumenty:</w:t>
      </w:r>
    </w:p>
    <w:p>
      <w:pPr>
        <w:keepNext w:val="0"/>
        <w:spacing w:before="0" w:after="80" w:line="252" w:lineRule="auto"/>
      </w:pPr>
      <w:r>
        <w:rPr>
          <w:rFonts w:ascii="Calibri" w:hAnsi="Calibri" w:eastAsia="Calibri"/>
          <w:b w:val="0"/>
          <w:i w:val="0"/>
          <w:color w:val="6B7280"/>
          <w:sz w:val="18"/>
        </w:rPr>
        <w:t>Standardy, dokumenty i reguły CV utrzymuj w karcie klienta. Po imporcie porównaj z Wordem: MUST/NICE, alternatywy, stawkę, tryb, dni i miasto biura oraz pytania. Popraw rozbieżności przed użyciem. Ponowny import nie zastępuje istniejącego profilu; zmiany zapisz też w edytorze NEXUSA. Do CV wybieraj zweryfikowany profil rekrutacji.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1"/>
        <w:gridCol w:w="6409"/>
      </w:tblGrid>
      <w:tr>
        <w:trPr>
          <w:trHeight w:val="567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Za prep odpowiada</w:t>
              <w:br/>
              <w:t>ustalona osoba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Rekruter prowadzący</w:t>
            </w:r>
          </w:p>
        </w:tc>
      </w:tr>
      <w:tr>
        <w:trPr>
          <w:trHeight w:val="680" w:hRule="atLeast"/>
          <w:cantSplit/>
        </w:trPr>
        <w:tc>
          <w:tcPr>
            <w:tcW w:type="dxa" w:w="345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E8EEF5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/>
                <w:i w:val="0"/>
                <w:color w:val="1F2937"/>
                <w:sz w:val="19"/>
              </w:rPr>
              <w:t>Ostatnia zmiana</w:t>
              <w:br/>
              <w:t>data, co i dlaczego</w:t>
            </w:r>
          </w:p>
        </w:tc>
        <w:tc>
          <w:tcPr>
            <w:tcW w:type="dxa" w:w="640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tcBorders>
              <w:top w:val="single" w:sz="6" w:color="C9CED6"/>
              <w:bottom w:val="single" w:sz="6" w:color="C9CED6"/>
              <w:left w:val="single" w:sz="6" w:color="C9CED6"/>
              <w:right w:val="single" w:sz="6" w:color="C9CED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</w:r>
            <w:r>
              <w:t>10.09 — doprecyzowano zakres migracji po rozmowie z klientem.</w:t>
            </w:r>
          </w:p>
        </w:tc>
      </w:tr>
    </w:tbl>
    <w:sectPr>
      <w:footerReference w:type="default" r:id="rId7"/>
      <w:pgSz w:w="11906" w:h="16838" w:orient="portrait"/>
      <w:pgMar w:top="740" w:right="1023" w:bottom="680" w:left="10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0"/>
        <w:i w:val="0"/>
        <w:color w:val="6B7280"/>
        <w:sz w:val="16"/>
        <w:szCs w:val="16"/>
      </w:rPr>
      <w:t xml:space="preserve">Profil Championa · wzór v4.0 · DYNAMINDS  —  strona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Championa — wzór v3 lite</dc:title>
  <dc:creator>DYNAMINDS</dc:creator>
  <cp:lastModifiedBy>Un-named</cp:lastModifiedBy>
  <cp:revision>1</cp:revision>
  <dcterms:created xsi:type="dcterms:W3CDTF">2026-09-09T15:48:51.820Z</dcterms:created>
  <dcterms:modified xsi:type="dcterms:W3CDTF">2026-09-09T15:48:51.836Z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