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 w:line="240" w:lineRule="auto"/>
      </w:pPr>
      <w:r>
        <w:rPr>
          <w:rFonts w:ascii="Calibri" w:hAnsi="Calibri" w:eastAsia="Calibri"/>
          <w:b/>
          <w:i w:val="0"/>
          <w:color w:val="1F3A5F"/>
          <w:sz w:val="40"/>
        </w:rPr>
        <w:t>PROFIL CHAMPIONA</w:t>
      </w:r>
      <w:r>
        <w:rPr>
          <w:rFonts w:ascii="Calibri" w:hAnsi="Calibri" w:eastAsia="Calibri"/>
          <w:b w:val="0"/>
          <w:i/>
          <w:color w:val="0F766E"/>
          <w:sz w:val="22"/>
        </w:rPr>
        <w:t xml:space="preserve">   Brief do rekrutacji i rozmowy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2761"/>
        <w:gridCol w:w="2169"/>
        <w:gridCol w:w="2761"/>
      </w:tblGrid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Klient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Nazwa roli i poziom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Delivery Lead — wymagany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Data i wersja profilu — wymagane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Rozmowy źródłowe</w:t>
              <w:br/>
              <w:t>osoba i data</w:t>
            </w:r>
          </w:p>
        </w:tc>
        <w:tc>
          <w:tcPr>
            <w:tcW w:type="dxa" w:w="76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6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Wypełniaj białe pola potwierdzonymi ustaleniami. Zachowaj nazwy rubryk i układ tabel. Puste pole oznacza brak potwierdzonych danych; 0 oznacza zero. Dane wymagane ustal przed przekazaniem do searchu. W źródłach podaj rozmówcę i datę rozmowy.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F3A5F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1. PODSTAWOWE INFORMACJE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2465"/>
        <w:gridCol w:w="2465"/>
        <w:gridCol w:w="2465"/>
      </w:tblGrid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Minimum lat doświadczenia</w:t>
              <w:br/>
              <w:t>łącznie w IT; pełne lata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Maks. stawka kandydata (PLN/h)</w:t>
              <w:br/>
              <w:t>wymagana; jedna liczba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Tryb pracy — wymagany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Dni w biurze na tydzień</w:t>
              <w:br/>
              <w:t>liczba całkowita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Lokalizacja biura</w:t>
              <w:br/>
              <w:t>uzgodnione miasto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Język pracy i poziom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Start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Deadline na kandydatów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Długość kontraktu</w:t>
              <w:br/>
              <w:t>liczba i jednostka czasu</w:t>
            </w:r>
          </w:p>
        </w:tc>
        <w:tc>
          <w:tcPr>
            <w:tcW w:type="dxa" w:w="73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60" w:after="4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Stawka: jedna liczba w PLN/h, bez widełek. Tryb: wpisz tylko zdalnie, hybrydowo albo stacjonarnie. Dni: liczba całkowita 0–7; 0 tylko przy braku obowiązku obecności. Przy biurze lub hybrydzie podaj dni i uzgodnione miasto biura. Daty: RRRR-MM-DD. Język: nazwa i poziom. Lata w roli lub branży opisz w obowiązkach.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D4ED8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2. CO WPISAĆ (SEARCH)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Frazy i firmy rozdzielaj przecinkami. Dyskwalifikatory zapisuj pojedynczo, jako sprawdzalne warunki. Brak informacji w CV wymaga sprawdzenia; nie oznacza potwierdzonego braku kompetencji.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Kluczowe słowa do wyszukiwania: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Firmy docelowe: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90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Kogo odrzucamy od razu — potwierdzone deal breakery: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13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plan działania — kryteria DL i dopuszczalne braki: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B45309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3. STACK TECHNOLOGICZNY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Jedna technologia, narzędzie lub metodyka w osobnym wierszu; ważna wersja przy nazwie. Każdy MUST jest wymagany, NICE jest opcjonalny. W tych dwóch polach nie wpisuj zdań, „brak”, „nie dotyczy” ani „do ustalenia”. Jeśli nie ma NICE, zostaw pole puste.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124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MUST-HAVE: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NICE-TO-HAVE: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304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niuanse wersji, zakresu i alternatywy: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100" w:after="12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Gdy wystarczy jedna z alternatyw, opisz je w uwagach jako „wystarczy jedna z: …” i sprawdź ich interpretację w NEXUSIE. Nie wpisuj alternatyw jako dwóch obowiązkowych MUST. Do handoffu potrzebny jest rzeczywisty MUST; jeśli go nie ma, uzgodnij dalszy tryb pracy z DL.</w:t>
      </w:r>
    </w:p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B45309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4. DOŚWIADCZENIE POZA STACKIEM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Dziedzina to obszar biznesowy, nie technologia. Wpisy rozdzielaj przecinkami. Kandydat bez śladu w CV nie znika z wyników — rekruter dopyta w screeningu.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124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Dziedzina — w czym kandydat pracował (np. płatności kartowe); dopisz „min. N lat”, a przy mile widzianej „(mile)”: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Certyfikaty — np. ISTQB Foundation; mile widziane oznacz „(mile)”: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304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Regulacje / standardy — np. PSD2, PCI DSS, RODO: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Opis projektu: maksymalnie dwa zdania o celu, fazie, skali i zespole. Obowiązki: 3–5 krótkich punktów o zadaniach, wyzwaniach oraz wymaganym doświadczeniu w roli lub branży. Informacje konieczne do oceny CV wpisz tutaj lub w MUST/NICE, nie wyłącznie w uwagach.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0F766E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5. O PROJEKCIE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0"/>
      </w:tblGrid>
      <w:tr>
        <w:trPr>
          <w:trHeight w:val="1928" w:hRule="atLeast"/>
          <w:cantSplit/>
        </w:trPr>
        <w:tc>
          <w:tcPr>
            <w:tcW w:type="dxa" w:w="9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3345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DFF1E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Obowiązki na stanowisku — zadania i wyzwania pierwszych 3 miesięcy: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5803D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6. SCREENING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Uzupełnij co najmniej dwa wiersze; trzeci jest opcjonalny. W lewym polu wpisz jedno pytanie. W prawym podaj oczekiwane elementy odpowiedzi i konkretny warunek dyskwalifikacji. Usuń cały niewykorzystany wiersz. Rzeczywiste odpowiedzi kandydata zapisuj osobno w NEXUSIE.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5620"/>
      </w:tblGrid>
      <w:tr>
        <w:trPr>
          <w:trHeight w:val="510" w:hRule="atLeast"/>
          <w:cantSplit/>
          <w:tblHeader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Pytania od Delivery Leada: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Sugerowane odpowiedzi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Idealna odpowiedź:</w:t>
              <w:br/>
              <w:br/>
              <w:t>Deal breaker:</w:t>
            </w:r>
          </w:p>
        </w:tc>
      </w:tr>
    </w:tbl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6D28D9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7. O KLIENCIE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Wpisuj ustalenia dotyczące tej roli. Pytania historyczne opieraj na przebytych rozmowach z klientem. Nieznane informacje pozostaw puste. Podawaj wyłącznie potwierdzone atuty i warunki oferty.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Co przekona kandydata do tej oferty: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Historyczne pytania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6D28D9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8. WIEDZA Z ROZMÓW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Smaczki z rozmów: czego klient naprawdę szuka, za co odrzucał, kto decyduje; od konsultanta — jak wygląda praca na co dzień. Widzi to wyłącznie zespół rekrutacji.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Od klienta — czego naprawdę szuka, za co odrzucał, kto decyduje: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Insight od naszego konsultanta u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keepNext w:val="0"/>
        <w:spacing w:before="120" w:after="40" w:line="252" w:lineRule="auto"/>
      </w:pPr>
      <w:r>
        <w:rPr>
          <w:rFonts w:ascii="Calibri" w:hAnsi="Calibri" w:eastAsia="Calibri"/>
          <w:b/>
          <w:i w:val="0"/>
          <w:color w:val="374151"/>
          <w:sz w:val="18"/>
        </w:rPr>
        <w:t>Uwagi / standardy klienta i dokumenty: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Standardy, dokumenty i reguły CV utrzymuj w karcie klienta. Po imporcie porównaj z Wordem: MUST/NICE, alternatywy, stawkę, tryb, dni i miasto biura oraz pytania. Popraw rozbieżności przed użyciem. Ponowny import nie zastępuje istniejącego profilu; zmiany zapisz też w edytorze NEXUSA. Do CV wybieraj zweryfikowany profil rekrutacji.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56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Za prep odpowiada</w:t>
              <w:br/>
              <w:t>ustalona osoba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Ostatnia zmiana</w:t>
              <w:br/>
              <w:t>data, co i dlaczego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</w:p>
        </w:tc>
      </w:tr>
    </w:tbl>
    <w:sectPr>
      <w:footerReference w:type="default" r:id="rId7"/>
      <w:pgSz w:w="11906" w:h="16838" w:orient="portrait"/>
      <w:pgMar w:top="740" w:right="1023" w:bottom="680" w:left="10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0"/>
        <w:i w:val="0"/>
        <w:color w:val="6B7280"/>
        <w:sz w:val="16"/>
        <w:szCs w:val="16"/>
      </w:rPr>
      <w:t xml:space="preserve">Profil Championa · wzór v5.0 · DYNAMINDS  —  strona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Championa — wzór v3 lite</dc:title>
  <dc:creator>DYNAMINDS</dc:creator>
  <cp:lastModifiedBy>Un-named</cp:lastModifiedBy>
  <cp:revision>1</cp:revision>
  <dcterms:created xsi:type="dcterms:W3CDTF">2026-09-09T15:48:51.820Z</dcterms:created>
  <dcterms:modified xsi:type="dcterms:W3CDTF">2026-09-09T15:48:51.836Z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