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Anomali Tespiti Raporu</w:t>
      </w:r>
    </w:p>
    <w:p>
      <w:pPr>
        <w:pStyle w:val="Heading1"/>
      </w:pPr>
      <w:r>
        <w:t>Enerji Tüketimi — KNIME Analytics Platform</w:t>
      </w:r>
    </w:p>
    <w:p>
      <w:r/>
      <w:r>
        <w:rPr>
          <w:b/>
        </w:rPr>
        <w:t>Workflow:</w:t>
      </w:r>
      <w:r>
        <w:t xml:space="preserve"> `05_Anomali_Enerji`  </w:t>
      </w:r>
    </w:p>
    <w:p>
      <w:r/>
      <w:r>
        <w:rPr>
          <w:b/>
        </w:rPr>
        <w:t>Veri:</w:t>
      </w:r>
      <w:r>
        <w:t xml:space="preserve"> dakika/saatlik enerji ölçümleri (Numeric Outliers sonrası ~2.049.280 satır)  </w:t>
      </w:r>
    </w:p>
    <w:p>
      <w:r/>
      <w:r>
        <w:rPr>
          <w:b/>
        </w:rPr>
        <w:t>Yöntem:</w:t>
      </w:r>
      <w:r>
        <w:t xml:space="preserve"> Normalizer (Min-Max) + Numeric Outliers (IQR, k=1.5)  </w:t>
      </w:r>
    </w:p>
    <w:p>
      <w:r/>
      <w:r>
        <w:rPr>
          <w:b/>
        </w:rPr>
        <w:t>Tarih:</w:t>
      </w:r>
      <w:r>
        <w:t xml:space="preserve"> 26.08.2026  </w:t>
      </w:r>
    </w:p>
    <w:p>
      <w:pPr>
        <w:pStyle w:val="Heading1"/>
      </w:pPr>
      <w:r>
        <w:t>1. Amaç</w:t>
      </w:r>
    </w:p>
    <w:p>
      <w:r>
        <w:t>Normal elektrik tüketimi / gerilim / alt sayaç davranışından sapan gözlemleri (outlier) tespit etmek.</w:t>
      </w:r>
    </w:p>
    <w:p>
      <w:pPr>
        <w:pStyle w:val="Heading1"/>
      </w:pPr>
      <w:r>
        <w:t>2. Node yapısı</w:t>
      </w:r>
    </w:p>
    <w:p>
      <w:r>
        <w:rPr>
          <w:rFonts w:ascii="Consolas" w:hAnsi="Consolas"/>
          <w:sz w:val="18"/>
        </w:rPr>
        <w:t>CSV Reader → Column Filter → Normalizer → Numeric Outliers → Scatter Plot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Ayar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Değer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Normalizer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Min-Max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Numeric Outliers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IQR, k = 1.5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Analiz sütunları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Global_active_power, Voltage, Global_intensity, Sub_metering_1/2/3</w:t>
            </w:r>
          </w:p>
        </w:tc>
      </w:tr>
    </w:tbl>
    <w:p/>
    <w:p>
      <w:pPr>
        <w:pStyle w:val="Heading1"/>
      </w:pPr>
      <w:r>
        <w:t>3. Sonuçlar — sütun başına outlier sayısı</w:t>
      </w:r>
    </w:p>
    <w:p>
      <w:r>
        <w:t>Kaynak: KNIME Numeric Outliers özet çıktısı · Scatter: X=`Outlier column`, Y=`Outlier count`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Outlier column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Outlier count (yaklaşık)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Oran (~2.049.280 satıra)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Global_active_power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~95.000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~%4,6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Voltage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~50.000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~%2,4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Global_intensity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~100.000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~%4,9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Sub_metering_1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~170.000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~%8,3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Sub_metering_2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~75.000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~%3,7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Sub_metering_3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~%0</w:t>
            </w:r>
          </w:p>
        </w:tc>
      </w:tr>
    </w:tbl>
    <w:p/>
    <w:p>
      <w:pPr>
        <w:pStyle w:val="Heading2"/>
      </w:pPr>
      <w:r>
        <w:t>Yorum</w:t>
      </w:r>
    </w:p>
    <w:p>
      <w:pPr>
        <w:pStyle w:val="ListBullet"/>
      </w:pPr>
      <w:r>
        <w:t>En çok anomali Sub_metering_1 (mutfak) ve Global_intensity / Global_active_power tarafında.</w:t>
      </w:r>
    </w:p>
    <w:p>
      <w:pPr>
        <w:pStyle w:val="ListBullet"/>
      </w:pPr>
      <w:r>
        <w:t>Voltage daha az outlier üretmiş (~50 bin).</w:t>
      </w:r>
    </w:p>
    <w:p>
      <w:pPr>
        <w:pStyle w:val="ListBullet"/>
      </w:pPr>
      <w:r>
        <w:t>Sub_metering_3 neredeyse outlier üretmemiş — dağılım IQR’ye göre “daha düzenli” veya farklı karakterde.</w:t>
      </w:r>
    </w:p>
    <w:p>
      <w:pPr>
        <w:pStyle w:val="ListBullet"/>
      </w:pPr>
      <w:r>
        <w:t>Bu özet, satır satır GAP×Voltage scatter yerine sütun bazlı anomali yoğunluğunu gösterir; ödev için Numeric Outliers çıktısının doğrudan görselleştirmesidir.</w:t>
      </w:r>
    </w:p>
    <w:p>
      <w:pPr>
        <w:pStyle w:val="Heading1"/>
      </w:pPr>
      <w:r>
        <w:t>4. Görseller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Durum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`screenshots/05_anomaly_outlier_counts.png`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Kaydedilecek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`screenshots/05_anomaly_workflow.png`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Alınacak (tuval)</w:t>
            </w:r>
          </w:p>
        </w:tc>
      </w:tr>
    </w:tbl>
    <w:p/>
    <w:p>
      <w:pPr>
        <w:pStyle w:val="Heading1"/>
      </w:pPr>
      <w:r>
        <w:t>5. Sonuç</w:t>
      </w:r>
    </w:p>
    <w:p>
      <w:r>
        <w:t xml:space="preserve">IQR tabanlı Numeric Outliers ile enerji değişkenlerinde anomali sayıları elde edildi.  </w:t>
      </w:r>
    </w:p>
    <w:p>
      <w:r>
        <w:t xml:space="preserve">En anomali yoğun sütun: </w:t>
      </w:r>
      <w:r>
        <w:rPr>
          <w:b/>
        </w:rPr>
        <w:t>Sub_metering_1</w:t>
      </w:r>
      <w:r>
        <w:t>; SM3 neredeyse temiz.</w:t>
      </w:r>
    </w:p>
    <w:p>
      <w:r>
        <w:t>*Yalnızca anomali tespiti.*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