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/>
        <w:t>КОНЦЕСИОНЕН ДОГОВОР № 12/2019</w:t>
      </w:r>
    </w:p>
    <w:p>
      <w:pPr>
        <w:pStyle w:val="BodyText"/>
        <w:bidi w:val="0"/>
        <w:jc w:val="left"/>
        <w:rPr/>
      </w:pPr>
      <w:r>
        <w:rPr/>
        <w:t>за предоставяне на концесия за услуга за стопанисване, поддържане и експлоатация на язовир „Мътница“, землище с. Мътница, община Смолян</w:t>
      </w:r>
    </w:p>
    <w:p>
      <w:pPr>
        <w:pStyle w:val="BodyText"/>
        <w:bidi w:val="0"/>
        <w:jc w:val="left"/>
        <w:rPr/>
      </w:pPr>
      <w:r>
        <w:rPr/>
        <w:t>Чл. 1. Концедентът предоставя на концесионера „Аква Смолян“ ЕООД, ЕИК 202273601, концесия за услуга върху обекта.</w:t>
      </w:r>
    </w:p>
    <w:p>
      <w:pPr>
        <w:pStyle w:val="BodyText"/>
        <w:bidi w:val="0"/>
        <w:jc w:val="left"/>
        <w:rPr/>
      </w:pPr>
      <w:r>
        <w:rPr/>
        <w:t>Чл. 3. Концесията се предоставя за срок от 35 (тридесет и пет) години, считано от датата на влизане в сила на договора.</w:t>
      </w:r>
    </w:p>
    <w:p>
      <w:pPr>
        <w:pStyle w:val="BodyText"/>
        <w:bidi w:val="0"/>
        <w:jc w:val="left"/>
        <w:rPr/>
      </w:pPr>
      <w:r>
        <w:rPr/>
        <w:t>Чл. 4. Стойността на концесията е 41 967,34 лв. (четиридесет и една хиляди деветстотин шестдесет и седем лева и 34 ст.) без ДДС.</w:t>
      </w:r>
      <w:r>
        <w:br w:type="page"/>
      </w:r>
    </w:p>
    <w:p>
      <w:pPr>
        <w:pStyle w:val="BodyText"/>
        <w:bidi w:val="0"/>
        <w:ind w:hanging="0" w:left="0" w:right="0"/>
        <w:jc w:val="left"/>
        <w:rPr/>
      </w:pPr>
      <w:r>
        <w:rPr/>
        <w:t>Чл. 5. (1) Годишното концесионно възнаграждение е в размер на 259,75 лв. (двеста петдесет и девет лева и 75 ст.) без ДДС.</w:t>
      </w:r>
    </w:p>
    <w:p>
      <w:pPr>
        <w:pStyle w:val="BodyText"/>
        <w:bidi w:val="0"/>
        <w:jc w:val="left"/>
        <w:rPr/>
      </w:pPr>
      <w:r>
        <w:rPr/>
        <w:t>(2) Еднократното концесионно възнаграждение е 1 500 лв. и се заплаща при подписване на договора.</w:t>
      </w:r>
    </w:p>
    <w:p>
      <w:pPr>
        <w:pStyle w:val="BodyText"/>
        <w:bidi w:val="0"/>
        <w:jc w:val="left"/>
        <w:rPr/>
      </w:pPr>
      <w:r>
        <w:rPr/>
        <w:t>(3) Концесионерът внася гаранция за изпълнение в размер на 1 000 лв.</w:t>
      </w:r>
    </w:p>
    <w:p>
      <w:pPr>
        <w:pStyle w:val="BodyText"/>
        <w:bidi w:val="0"/>
        <w:spacing w:before="0" w:after="283"/>
        <w:jc w:val="left"/>
        <w:rPr/>
      </w:pPr>
      <w:r>
        <w:rPr/>
        <w:t>Чл. 6. Гратисният период е 2 (две) години от сключване на договора.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2867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DejaVu Sans">
    <w:charset w:val="00"/>
    <w:family w:val="auto"/>
    <w:pitch w:val="default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ans" w:hAnsi="DejaVu Sans" w:eastAsia="DejaVu Sans" w:cs="DejaVu Sans"/>
      <w:color w:val="000000"/>
      <w:sz w:val="26"/>
      <w:szCs w:val="26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WenQuanYi Zen Hei" w:cs="FreeSans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