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Informe: cómo funciona el modelo (iteración 3)</w:t>
      </w:r>
    </w:p>
    <w:p>
      <w:r>
        <w:t xml:space="preserve">Modelo de distribución de especies (SDM) </w:t>
      </w:r>
      <w:r>
        <w:rPr>
          <w:b/>
        </w:rPr>
        <w:t>ensemble</w:t>
      </w:r>
      <w:r>
        <w:t xml:space="preserve">, </w:t>
      </w:r>
      <w:r>
        <w:rPr>
          <w:b/>
        </w:rPr>
        <w:t>escala regional (Chile)</w:t>
      </w:r>
      <w:r>
        <w:t xml:space="preserve">, para 14 especies de flora. Predice </w:t>
      </w:r>
      <w:r>
        <w:rPr>
          <w:b/>
        </w:rPr>
        <w:t>idoneidad de hábitat</w:t>
      </w:r>
      <w:r>
        <w:t xml:space="preserve"> (0–1) en cada celda de ~5 km a partir de clima y topografía. Esta iteración reencuadra la calibración al territorio de Chile: las 14 especies son endémicas chilenas (más dos introducidas con presencia en Chile) y calibrar contra background planetario inflaba la discriminación de forma trivial (AUC ~0.99). Al acotar a Chile el modelo resuelve un problema ecológico real: caracterizar el nicho dentro del rango del país.</w:t>
      </w:r>
    </w:p>
    <w:p>
      <w:pPr>
        <w:pStyle w:val="Heading2"/>
      </w:pPr>
      <w:r>
        <w:t>1. Qué produce</w:t>
      </w:r>
    </w:p>
    <w:p>
      <w:r>
        <w:t>Para cada especie: un raster de idoneidad presente (0–1) recortado a Sudamérica, umbrales para mapas binarios (presencia/ausencia), y un set de métricas de validación. El pipeline está preparado para proyectar a 2050 (CMIP6), paso aún no ejecutado.</w:t>
      </w:r>
    </w:p>
    <w:p>
      <w:pPr>
        <w:pStyle w:val="Heading2"/>
      </w:pPr>
      <w:r>
        <w:t>2. Cómo funciona</w:t>
      </w:r>
    </w:p>
    <w:p>
      <w:r>
        <w:rPr>
          <w:b/>
        </w:rPr>
        <w:t>Datos de entrada por punto</w:t>
      </w:r>
      <w:r>
        <w:t xml:space="preserve"> (presencia o pseudo-ausencia):</w:t>
      </w:r>
    </w:p>
    <w:p>
      <w:pPr>
        <w:pStyle w:val="ListBullet"/>
      </w:pPr>
      <w:r>
        <w:rPr>
          <w:b/>
        </w:rPr>
        <w:t>10 variables bioclimáticas</w:t>
      </w:r>
      <w:r>
        <w:t xml:space="preserve"> (WorldClim v2.1): temperatura (bio1,4,5,6,7,10,11)</w:t>
      </w:r>
    </w:p>
    <w:p>
      <w:r>
        <w:t>y precipitación (bio12,15,17).</w:t>
      </w:r>
    </w:p>
    <w:p>
      <w:pPr>
        <w:pStyle w:val="ListBullet"/>
      </w:pPr>
      <w:r>
        <w:rPr>
          <w:b/>
        </w:rPr>
        <w:t>4 topográficas</w:t>
      </w:r>
      <w:r>
        <w:t>: elevación, pendiente, northness, eastness.</w:t>
      </w:r>
    </w:p>
    <w:p>
      <w:pPr>
        <w:pStyle w:val="ListBullet"/>
      </w:pPr>
      <w:r>
        <w:t>Selección por especie eliminando colinealidad (|r|&gt;0.7 y VIF&gt;10).</w:t>
      </w:r>
    </w:p>
    <w:p>
      <w:r>
        <w:rPr>
          <w:b/>
        </w:rPr>
        <w:t>Presencias:</w:t>
      </w:r>
      <w:r>
        <w:t xml:space="preserve"> registros GBIF acotados al polígono de Chile (Natural Earth admin-0 intersección tierra; respaldo: bounding-box de Chile). Esto descarta registros fuera del país y reduce el n disponible frente a la iteración anterior.</w:t>
      </w:r>
    </w:p>
    <w:p>
      <w:r>
        <w:rPr>
          <w:b/>
        </w:rPr>
        <w:t>Background (pseudo-ausencias):</w:t>
      </w:r>
      <w:r>
        <w:t xml:space="preserve"> ~18.750 puntos (de 20.000 solicitados; el resto cae con NaN en algún predictor) muestreados </w:t>
      </w:r>
      <w:r>
        <w:rPr>
          <w:b/>
        </w:rPr>
        <w:t>dentro de Chile</w:t>
      </w:r>
      <w:r>
        <w:t xml:space="preserve">, no en todo el planeta. El fondo representa las condiciones ambientales disponibles en el territorio de calibración. </w:t>
      </w:r>
      <w:r>
        <w:rPr>
          <w:i/>
        </w:rPr>
        <w:t>Matiz pendiente:</w:t>
      </w:r>
      <w:r>
        <w:t xml:space="preserve"> el "target-group" no corrige sesgo de muestreo como debería — el suavizado de Laplace en </w:t>
      </w:r>
      <w:r>
        <w:rPr>
          <w:rFonts w:ascii="Consolas" w:hAnsi="Consolas"/>
          <w:sz w:val="19"/>
        </w:rPr>
        <w:t>04_extraccion.py</w:t>
      </w:r>
      <w:r>
        <w:t xml:space="preserve"> aplastó la señal de esfuerzo GBIF, así que el background es prácticamente aleatorio dentro de Chile. Además, las presencias ocupan una franja estrecha (lat ≈ −25 a −35) mientras el background abarca todo el país (hasta Patagonia): distinguir "norte árido" de "sur templado" sigue siendo relativamente fácil, lo que aún infla algo la discriminación. El área accesible honesta sería un </w:t>
      </w:r>
      <w:r>
        <w:rPr>
          <w:i/>
        </w:rPr>
        <w:t>buffer</w:t>
      </w:r>
      <w:r>
        <w:t xml:space="preserve"> alrededor de las presencias, no Chile entero.</w:t>
      </w:r>
    </w:p>
    <w:p>
      <w:r>
        <w:rPr>
          <w:b/>
        </w:rPr>
        <w:t>Ensemble de 5 algoritmos</w:t>
      </w:r>
      <w:r>
        <w:t xml:space="preserve"> (cada uno con hiperparámetros tuneados vía CV): GLM (regresión logística L1), GAM (pyGAM), Random Forest, LightGBM, MaxEnt (elapid).</w:t>
      </w:r>
    </w:p>
    <w:p>
      <w:r>
        <w:rPr>
          <w:b/>
        </w:rPr>
        <w:t>Combinación:</w:t>
      </w:r>
      <w:r>
        <w:t xml:space="preserve"> promedio </w:t>
      </w:r>
      <w:r>
        <w:rPr>
          <w:b/>
        </w:rPr>
        <w:t>equal-weight</w:t>
      </w:r>
      <w:r>
        <w:t xml:space="preserve"> de los modelos que superan el umbral mínimo de calidad (TSS&gt;=0.5 en CV). Se probaron alternativas (ponderación por TSS³ y stacking): el promedio equal-weight resultó el mejor.</w:t>
      </w:r>
    </w:p>
    <w:p>
      <w:r>
        <w:rPr>
          <w:b/>
        </w:rPr>
        <w:t>Umbrales</w:t>
      </w:r>
      <w:r>
        <w:t xml:space="preserve"> para binarizar: maxTSS, p10 (conservador, ~10% omisión), min_train.</w:t>
      </w:r>
    </w:p>
    <w:p>
      <w:r>
        <w:rPr>
          <w:b/>
        </w:rPr>
        <w:t>Predicción y mapas:</w:t>
      </w:r>
      <w:r>
        <w:t xml:space="preserve"> la idoneidad se predice sobre Sudamérica y los mapas se enfocan en esa región (extent configurado en </w:t>
      </w:r>
      <w:r>
        <w:rPr>
          <w:rFonts w:ascii="Consolas" w:hAnsi="Consolas"/>
          <w:sz w:val="19"/>
        </w:rPr>
        <w:t>config.py</w:t>
      </w:r>
      <w:r>
        <w:t>).</w:t>
      </w:r>
    </w:p>
    <w:p>
      <w:pPr>
        <w:pStyle w:val="Heading2"/>
      </w:pPr>
      <w:r>
        <w:t>3. Cómo se valida — CV espacial adaptativo</w:t>
      </w:r>
    </w:p>
    <w:p>
      <w:r>
        <w:t xml:space="preserve">Validación por </w:t>
      </w:r>
      <w:r>
        <w:rPr>
          <w:b/>
        </w:rPr>
        <w:t>leave-one-spatial-cluster-out</w:t>
      </w:r>
      <w:r>
        <w:t xml:space="preserve">: las presencias se agrupan en 5 clústeres espaciales (k-means sobre lon/lat); cada clúster es un fold; se entrena en 4 y se evalúa en el que queda fuera. El tamaño de fold </w:t>
      </w:r>
      <w:r>
        <w:rPr>
          <w:b/>
        </w:rPr>
        <w:t>se adapta al rango de la especie</w:t>
      </w:r>
      <w:r>
        <w:t>, de modo que cada fold contiene presencias — esto rescató a las 12 endémicas que antes caían en 1–2 bloques y daban métricas no calculables (NaN).</w:t>
      </w:r>
    </w:p>
    <w:p>
      <w:r>
        <w:t>Métricas: TSS y AUC (discriminación), Boyce/CBI (solo-presencia), Brier (calibración), SD entre folds (robustez), MESS (extrapolación).</w:t>
      </w:r>
    </w:p>
    <w:p>
      <w:r>
        <w:rPr>
          <w:b/>
        </w:rPr>
        <w:t>Cómo se reporta el TSS (corregido en esta revisión).</w:t>
      </w:r>
      <w:r>
        <w:t xml:space="preserve"> El número honesto de transferencia espacial es el </w:t>
      </w:r>
      <w:r>
        <w:rPr>
          <w:b/>
        </w:rPr>
        <w:t>TSS/AUC por fold (media ± SD)</w:t>
      </w:r>
      <w:r>
        <w:t xml:space="preserve">. El TSS pooled se reporta al </w:t>
      </w:r>
      <w:r>
        <w:rPr>
          <w:b/>
        </w:rPr>
        <w:t>umbral fijado en entrenamiento</w:t>
      </w:r>
      <w:r>
        <w:t xml:space="preserve"> aplicado al OOF. Antes se optimizaba el umbral sobre el propio OOF (mirando las etiquetas de evaluación), lo que sobrestimaba el TSS de forma sistemática (p. ej. nolana_divaricata aparecía con TSS 0.80 cuando su TSS-transfer real es 0.12). Eso quedó eliminado: </w:t>
      </w:r>
      <w:r>
        <w:rPr>
          <w:rFonts w:ascii="Consolas" w:hAnsi="Consolas"/>
          <w:sz w:val="19"/>
        </w:rPr>
        <w:t>06_validacion.py</w:t>
      </w:r>
      <w:r>
        <w:t xml:space="preserve"> ya no re-optimiza el umbral sobre el conjunto de evaluación.</w:t>
      </w:r>
    </w:p>
    <w:p>
      <w:pPr>
        <w:pStyle w:val="Heading2"/>
      </w:pPr>
      <w:r>
        <w:t>4. Resultados (CV espacial por fold, ensemble, calibrado a Chile)</w:t>
      </w:r>
    </w:p>
    <w:p>
      <w:r>
        <w:t xml:space="preserve">13 especies (atriplex excluida, n=8). AUC y TSS son </w:t>
      </w:r>
      <w:r>
        <w:rPr>
          <w:b/>
        </w:rPr>
        <w:t>media ± SD entre folds</w:t>
      </w:r>
      <w:r>
        <w:t xml:space="preserve"> (transferencia espacial honesta); Boyce es el CBI sobre OOF. Ordenadas por Boyce: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Especie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AUC fold ±SD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TSS fold ±SD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Boyce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Lectura</w:t>
            </w:r>
          </w:p>
        </w:tc>
      </w:tr>
      <w:tr>
        <w:tc>
          <w:tcPr>
            <w:tcW w:type="dxa" w:w="1440"/>
          </w:tcPr>
          <w:p>
            <w:r/>
            <w:r>
              <w:t>krameria_cistoidea</w:t>
            </w:r>
          </w:p>
        </w:tc>
        <w:tc>
          <w:tcPr>
            <w:tcW w:type="dxa" w:w="1440"/>
          </w:tcPr>
          <w:p>
            <w:r/>
            <w:r>
              <w:t>234</w:t>
            </w:r>
          </w:p>
        </w:tc>
        <w:tc>
          <w:tcPr>
            <w:tcW w:type="dxa" w:w="1440"/>
          </w:tcPr>
          <w:p>
            <w:r/>
            <w:r>
              <w:t>0.71±0.07</w:t>
            </w:r>
          </w:p>
        </w:tc>
        <w:tc>
          <w:tcPr>
            <w:tcW w:type="dxa" w:w="1440"/>
          </w:tcPr>
          <w:p>
            <w:r/>
            <w:r>
              <w:t>0.10±0.13</w:t>
            </w:r>
          </w:p>
        </w:tc>
        <w:tc>
          <w:tcPr>
            <w:tcW w:type="dxa" w:w="1440"/>
          </w:tcPr>
          <w:p>
            <w:r/>
            <w:r>
              <w:t>+0.89</w:t>
            </w:r>
          </w:p>
        </w:tc>
        <w:tc>
          <w:tcPr>
            <w:tcW w:type="dxa" w:w="1440"/>
          </w:tcPr>
          <w:p>
            <w:r/>
            <w:r>
              <w:t>confiable (Boyce alto; transfer local inestable)</w:t>
            </w:r>
          </w:p>
        </w:tc>
      </w:tr>
      <w:tr>
        <w:tc>
          <w:tcPr>
            <w:tcW w:type="dxa" w:w="1440"/>
          </w:tcPr>
          <w:p>
            <w:r/>
            <w:r>
              <w:t>skytanthus_acutus</w:t>
            </w:r>
          </w:p>
        </w:tc>
        <w:tc>
          <w:tcPr>
            <w:tcW w:type="dxa" w:w="1440"/>
          </w:tcPr>
          <w:p>
            <w:r/>
            <w:r>
              <w:t>117</w:t>
            </w:r>
          </w:p>
        </w:tc>
        <w:tc>
          <w:tcPr>
            <w:tcW w:type="dxa" w:w="1440"/>
          </w:tcPr>
          <w:p>
            <w:r/>
            <w:r>
              <w:t>0.80±0.17</w:t>
            </w:r>
          </w:p>
        </w:tc>
        <w:tc>
          <w:tcPr>
            <w:tcW w:type="dxa" w:w="1440"/>
          </w:tcPr>
          <w:p>
            <w:r/>
            <w:r>
              <w:t>0.35±0.31</w:t>
            </w:r>
          </w:p>
        </w:tc>
        <w:tc>
          <w:tcPr>
            <w:tcW w:type="dxa" w:w="1440"/>
          </w:tcPr>
          <w:p>
            <w:r/>
            <w:r>
              <w:t>+0.79</w:t>
            </w:r>
          </w:p>
        </w:tc>
        <w:tc>
          <w:tcPr>
            <w:tcW w:type="dxa" w:w="1440"/>
          </w:tcPr>
          <w:p>
            <w:r/>
            <w:r>
              <w:t>confiable</w:t>
            </w:r>
          </w:p>
        </w:tc>
      </w:tr>
      <w:tr>
        <w:tc>
          <w:tcPr>
            <w:tcW w:type="dxa" w:w="1440"/>
          </w:tcPr>
          <w:p>
            <w:r/>
            <w:r>
              <w:t>nolana_sedifolia</w:t>
            </w:r>
          </w:p>
        </w:tc>
        <w:tc>
          <w:tcPr>
            <w:tcW w:type="dxa" w:w="1440"/>
          </w:tcPr>
          <w:p>
            <w:r/>
            <w:r>
              <w:t>74</w:t>
            </w:r>
          </w:p>
        </w:tc>
        <w:tc>
          <w:tcPr>
            <w:tcW w:type="dxa" w:w="1440"/>
          </w:tcPr>
          <w:p>
            <w:r/>
            <w:r>
              <w:t>0.76±0.17</w:t>
            </w:r>
          </w:p>
        </w:tc>
        <w:tc>
          <w:tcPr>
            <w:tcW w:type="dxa" w:w="1440"/>
          </w:tcPr>
          <w:p>
            <w:r/>
            <w:r>
              <w:t>0.38±0.27</w:t>
            </w:r>
          </w:p>
        </w:tc>
        <w:tc>
          <w:tcPr>
            <w:tcW w:type="dxa" w:w="1440"/>
          </w:tcPr>
          <w:p>
            <w:r/>
            <w:r>
              <w:t>+0.79</w:t>
            </w:r>
          </w:p>
        </w:tc>
        <w:tc>
          <w:tcPr>
            <w:tcW w:type="dxa" w:w="1440"/>
          </w:tcPr>
          <w:p>
            <w:r/>
            <w:r>
              <w:t>confiable</w:t>
            </w:r>
          </w:p>
        </w:tc>
      </w:tr>
      <w:tr>
        <w:tc>
          <w:tcPr>
            <w:tcW w:type="dxa" w:w="1440"/>
          </w:tcPr>
          <w:p>
            <w:r/>
            <w:r>
              <w:t>nolana_divaricata</w:t>
            </w:r>
          </w:p>
        </w:tc>
        <w:tc>
          <w:tcPr>
            <w:tcW w:type="dxa" w:w="1440"/>
          </w:tcPr>
          <w:p>
            <w:r/>
            <w:r>
              <w:t>64</w:t>
            </w:r>
          </w:p>
        </w:tc>
        <w:tc>
          <w:tcPr>
            <w:tcW w:type="dxa" w:w="1440"/>
          </w:tcPr>
          <w:p>
            <w:r/>
            <w:r>
              <w:t>0.74±0.22</w:t>
            </w:r>
          </w:p>
        </w:tc>
        <w:tc>
          <w:tcPr>
            <w:tcW w:type="dxa" w:w="1440"/>
          </w:tcPr>
          <w:p>
            <w:r/>
            <w:r>
              <w:t>0.10±0.15</w:t>
            </w:r>
          </w:p>
        </w:tc>
        <w:tc>
          <w:tcPr>
            <w:tcW w:type="dxa" w:w="1440"/>
          </w:tcPr>
          <w:p>
            <w:r/>
            <w:r>
              <w:t>+0.77</w:t>
            </w:r>
          </w:p>
        </w:tc>
        <w:tc>
          <w:tcPr>
            <w:tcW w:type="dxa" w:w="1440"/>
          </w:tcPr>
          <w:p>
            <w:r/>
            <w:r>
              <w:t>confiable (Boyce alto; transfer local inestable)</w:t>
            </w:r>
          </w:p>
        </w:tc>
      </w:tr>
      <w:tr>
        <w:tc>
          <w:tcPr>
            <w:tcW w:type="dxa" w:w="1440"/>
          </w:tcPr>
          <w:p>
            <w:r/>
            <w:r>
              <w:t>oxalis_gigantea</w:t>
            </w:r>
          </w:p>
        </w:tc>
        <w:tc>
          <w:tcPr>
            <w:tcW w:type="dxa" w:w="1440"/>
          </w:tcPr>
          <w:p>
            <w:r/>
            <w:r>
              <w:t>99</w:t>
            </w:r>
          </w:p>
        </w:tc>
        <w:tc>
          <w:tcPr>
            <w:tcW w:type="dxa" w:w="1440"/>
          </w:tcPr>
          <w:p>
            <w:r/>
            <w:r>
              <w:t>0.83±0.20</w:t>
            </w:r>
          </w:p>
        </w:tc>
        <w:tc>
          <w:tcPr>
            <w:tcW w:type="dxa" w:w="1440"/>
          </w:tcPr>
          <w:p>
            <w:r/>
            <w:r>
              <w:t>0.56±0.32</w:t>
            </w:r>
          </w:p>
        </w:tc>
        <w:tc>
          <w:tcPr>
            <w:tcW w:type="dxa" w:w="1440"/>
          </w:tcPr>
          <w:p>
            <w:r/>
            <w:r>
              <w:t>+0.59</w:t>
            </w:r>
          </w:p>
        </w:tc>
        <w:tc>
          <w:tcPr>
            <w:tcW w:type="dxa" w:w="1440"/>
          </w:tcPr>
          <w:p>
            <w:r/>
            <w:r>
              <w:t>buena</w:t>
            </w:r>
          </w:p>
        </w:tc>
      </w:tr>
      <w:tr>
        <w:tc>
          <w:tcPr>
            <w:tcW w:type="dxa" w:w="1440"/>
          </w:tcPr>
          <w:p>
            <w:r/>
            <w:r>
              <w:t>eulychnia_acida</w:t>
            </w:r>
          </w:p>
        </w:tc>
        <w:tc>
          <w:tcPr>
            <w:tcW w:type="dxa" w:w="1440"/>
          </w:tcPr>
          <w:p>
            <w:r/>
            <w:r>
              <w:t>165</w:t>
            </w:r>
          </w:p>
        </w:tc>
        <w:tc>
          <w:tcPr>
            <w:tcW w:type="dxa" w:w="1440"/>
          </w:tcPr>
          <w:p>
            <w:r/>
            <w:r>
              <w:t>0.79±0.13</w:t>
            </w:r>
          </w:p>
        </w:tc>
        <w:tc>
          <w:tcPr>
            <w:tcW w:type="dxa" w:w="1440"/>
          </w:tcPr>
          <w:p>
            <w:r/>
            <w:r>
              <w:t>0.49±0.22</w:t>
            </w:r>
          </w:p>
        </w:tc>
        <w:tc>
          <w:tcPr>
            <w:tcW w:type="dxa" w:w="1440"/>
          </w:tcPr>
          <w:p>
            <w:r/>
            <w:r>
              <w:t>+0.59</w:t>
            </w:r>
          </w:p>
        </w:tc>
        <w:tc>
          <w:tcPr>
            <w:tcW w:type="dxa" w:w="1440"/>
          </w:tcPr>
          <w:p>
            <w:r/>
            <w:r>
              <w:t>buena</w:t>
            </w:r>
          </w:p>
        </w:tc>
      </w:tr>
      <w:tr>
        <w:tc>
          <w:tcPr>
            <w:tcW w:type="dxa" w:w="1440"/>
          </w:tcPr>
          <w:p>
            <w:r/>
            <w:r>
              <w:t>miqueliopuntia_miquelii</w:t>
            </w:r>
          </w:p>
        </w:tc>
        <w:tc>
          <w:tcPr>
            <w:tcW w:type="dxa" w:w="1440"/>
          </w:tcPr>
          <w:p>
            <w:r/>
            <w:r>
              <w:t>136</w:t>
            </w:r>
          </w:p>
        </w:tc>
        <w:tc>
          <w:tcPr>
            <w:tcW w:type="dxa" w:w="1440"/>
          </w:tcPr>
          <w:p>
            <w:r/>
            <w:r>
              <w:t>0.84±0.12</w:t>
            </w:r>
          </w:p>
        </w:tc>
        <w:tc>
          <w:tcPr>
            <w:tcW w:type="dxa" w:w="1440"/>
          </w:tcPr>
          <w:p>
            <w:r/>
            <w:r>
              <w:t>0.12±0.10</w:t>
            </w:r>
          </w:p>
        </w:tc>
        <w:tc>
          <w:tcPr>
            <w:tcW w:type="dxa" w:w="1440"/>
          </w:tcPr>
          <w:p>
            <w:r/>
            <w:r>
              <w:t>+0.49</w:t>
            </w:r>
          </w:p>
        </w:tc>
        <w:tc>
          <w:tcPr>
            <w:tcW w:type="dxa" w:w="1440"/>
          </w:tcPr>
          <w:p>
            <w:r/>
            <w:r>
              <w:t>buena (transfer débil)</w:t>
            </w:r>
          </w:p>
        </w:tc>
      </w:tr>
      <w:tr>
        <w:tc>
          <w:tcPr>
            <w:tcW w:type="dxa" w:w="1440"/>
          </w:tcPr>
          <w:p>
            <w:r/>
            <w:r>
              <w:t>encelia_canescens</w:t>
            </w:r>
          </w:p>
        </w:tc>
        <w:tc>
          <w:tcPr>
            <w:tcW w:type="dxa" w:w="1440"/>
          </w:tcPr>
          <w:p>
            <w:r/>
            <w:r>
              <w:t>209</w:t>
            </w:r>
          </w:p>
        </w:tc>
        <w:tc>
          <w:tcPr>
            <w:tcW w:type="dxa" w:w="1440"/>
          </w:tcPr>
          <w:p>
            <w:r/>
            <w:r>
              <w:t>0.74±0.14</w:t>
            </w:r>
          </w:p>
        </w:tc>
        <w:tc>
          <w:tcPr>
            <w:tcW w:type="dxa" w:w="1440"/>
          </w:tcPr>
          <w:p>
            <w:r/>
            <w:r>
              <w:t>0.28±0.34</w:t>
            </w:r>
          </w:p>
        </w:tc>
        <w:tc>
          <w:tcPr>
            <w:tcW w:type="dxa" w:w="1440"/>
          </w:tcPr>
          <w:p>
            <w:r/>
            <w:r>
              <w:t>+0.36</w:t>
            </w:r>
          </w:p>
        </w:tc>
        <w:tc>
          <w:tcPr>
            <w:tcW w:type="dxa" w:w="1440"/>
          </w:tcPr>
          <w:p>
            <w:r/>
            <w:r>
              <w:t>aceptable</w:t>
            </w:r>
          </w:p>
        </w:tc>
      </w:tr>
      <w:tr>
        <w:tc>
          <w:tcPr>
            <w:tcW w:type="dxa" w:w="1440"/>
          </w:tcPr>
          <w:p>
            <w:r/>
            <w:r>
              <w:t>neltuma_chilensis</w:t>
            </w:r>
          </w:p>
        </w:tc>
        <w:tc>
          <w:tcPr>
            <w:tcW w:type="dxa" w:w="1440"/>
          </w:tcPr>
          <w:p>
            <w:r/>
            <w:r>
              <w:t>84</w:t>
            </w:r>
          </w:p>
        </w:tc>
        <w:tc>
          <w:tcPr>
            <w:tcW w:type="dxa" w:w="1440"/>
          </w:tcPr>
          <w:p>
            <w:r/>
            <w:r>
              <w:t>0.75±0.12</w:t>
            </w:r>
          </w:p>
        </w:tc>
        <w:tc>
          <w:tcPr>
            <w:tcW w:type="dxa" w:w="1440"/>
          </w:tcPr>
          <w:p>
            <w:r/>
            <w:r>
              <w:t>0.31±0.25</w:t>
            </w:r>
          </w:p>
        </w:tc>
        <w:tc>
          <w:tcPr>
            <w:tcW w:type="dxa" w:w="1440"/>
          </w:tcPr>
          <w:p>
            <w:r/>
            <w:r>
              <w:t>+0.19</w:t>
            </w:r>
          </w:p>
        </w:tc>
        <w:tc>
          <w:tcPr>
            <w:tcW w:type="dxa" w:w="1440"/>
          </w:tcPr>
          <w:p>
            <w:r/>
            <w:r>
              <w:t>débil (Boyce bajo)</w:t>
            </w:r>
          </w:p>
        </w:tc>
      </w:tr>
      <w:tr>
        <w:tc>
          <w:tcPr>
            <w:tcW w:type="dxa" w:w="1440"/>
          </w:tcPr>
          <w:p>
            <w:r/>
            <w:r>
              <w:t>cumulopuntia_sphaerica</w:t>
            </w:r>
          </w:p>
        </w:tc>
        <w:tc>
          <w:tcPr>
            <w:tcW w:type="dxa" w:w="1440"/>
          </w:tcPr>
          <w:p>
            <w:r/>
            <w:r>
              <w:t>111</w:t>
            </w:r>
          </w:p>
        </w:tc>
        <w:tc>
          <w:tcPr>
            <w:tcW w:type="dxa" w:w="1440"/>
          </w:tcPr>
          <w:p>
            <w:r/>
            <w:r>
              <w:t>0.68±0.22</w:t>
            </w:r>
          </w:p>
        </w:tc>
        <w:tc>
          <w:tcPr>
            <w:tcW w:type="dxa" w:w="1440"/>
          </w:tcPr>
          <w:p>
            <w:r/>
            <w:r>
              <w:t>0.11±0.09</w:t>
            </w:r>
          </w:p>
        </w:tc>
        <w:tc>
          <w:tcPr>
            <w:tcW w:type="dxa" w:w="1440"/>
          </w:tcPr>
          <w:p>
            <w:r/>
            <w:r>
              <w:t>+0.15</w:t>
            </w:r>
          </w:p>
        </w:tc>
        <w:tc>
          <w:tcPr>
            <w:tcW w:type="dxa" w:w="1440"/>
          </w:tcPr>
          <w:p>
            <w:r/>
            <w:r>
              <w:t>débil (Boyce bajo)</w:t>
            </w:r>
          </w:p>
        </w:tc>
      </w:tr>
      <w:tr>
        <w:tc>
          <w:tcPr>
            <w:tcW w:type="dxa" w:w="1440"/>
          </w:tcPr>
          <w:p>
            <w:r/>
            <w:r>
              <w:t>pleurophora_pungens</w:t>
            </w:r>
          </w:p>
        </w:tc>
        <w:tc>
          <w:tcPr>
            <w:tcW w:type="dxa" w:w="1440"/>
          </w:tcPr>
          <w:p>
            <w:r/>
            <w:r>
              <w:t>59</w:t>
            </w:r>
          </w:p>
        </w:tc>
        <w:tc>
          <w:tcPr>
            <w:tcW w:type="dxa" w:w="1440"/>
          </w:tcPr>
          <w:p>
            <w:r/>
            <w:r>
              <w:t>0.79±0.14</w:t>
            </w:r>
          </w:p>
        </w:tc>
        <w:tc>
          <w:tcPr>
            <w:tcW w:type="dxa" w:w="1440"/>
          </w:tcPr>
          <w:p>
            <w:r/>
            <w:r>
              <w:t>0.00±0.01</w:t>
            </w:r>
          </w:p>
        </w:tc>
        <w:tc>
          <w:tcPr>
            <w:tcW w:type="dxa" w:w="1440"/>
          </w:tcPr>
          <w:p>
            <w:r/>
            <w:r>
              <w:t>−0.23</w:t>
            </w:r>
          </w:p>
        </w:tc>
        <w:tc>
          <w:tcPr>
            <w:tcW w:type="dxa" w:w="1440"/>
          </w:tcPr>
          <w:p>
            <w:r/>
            <w:r>
              <w:t>no confiable</w:t>
            </w:r>
          </w:p>
        </w:tc>
      </w:tr>
      <w:tr>
        <w:tc>
          <w:tcPr>
            <w:tcW w:type="dxa" w:w="1440"/>
          </w:tcPr>
          <w:p>
            <w:r/>
            <w:r>
              <w:t>senna_cumingii</w:t>
            </w:r>
          </w:p>
        </w:tc>
        <w:tc>
          <w:tcPr>
            <w:tcW w:type="dxa" w:w="1440"/>
          </w:tcPr>
          <w:p>
            <w:r/>
            <w:r>
              <w:t>114</w:t>
            </w:r>
          </w:p>
        </w:tc>
        <w:tc>
          <w:tcPr>
            <w:tcW w:type="dxa" w:w="1440"/>
          </w:tcPr>
          <w:p>
            <w:r/>
            <w:r>
              <w:t>0.76±0.09</w:t>
            </w:r>
          </w:p>
        </w:tc>
        <w:tc>
          <w:tcPr>
            <w:tcW w:type="dxa" w:w="1440"/>
          </w:tcPr>
          <w:p>
            <w:r/>
            <w:r>
              <w:t>0.27±0.14</w:t>
            </w:r>
          </w:p>
        </w:tc>
        <w:tc>
          <w:tcPr>
            <w:tcW w:type="dxa" w:w="1440"/>
          </w:tcPr>
          <w:p>
            <w:r/>
            <w:r>
              <w:t>−0.66</w:t>
            </w:r>
          </w:p>
        </w:tc>
        <w:tc>
          <w:tcPr>
            <w:tcW w:type="dxa" w:w="1440"/>
          </w:tcPr>
          <w:p>
            <w:r/>
            <w:r>
              <w:t>no transfiere</w:t>
            </w:r>
          </w:p>
        </w:tc>
      </w:tr>
      <w:tr>
        <w:tc>
          <w:tcPr>
            <w:tcW w:type="dxa" w:w="1440"/>
          </w:tcPr>
          <w:p>
            <w:r/>
            <w:r>
              <w:t>schinus_areira</w:t>
            </w:r>
          </w:p>
        </w:tc>
        <w:tc>
          <w:tcPr>
            <w:tcW w:type="dxa" w:w="1440"/>
          </w:tcPr>
          <w:p>
            <w:r/>
            <w:r>
              <w:t>72</w:t>
            </w:r>
          </w:p>
        </w:tc>
        <w:tc>
          <w:tcPr>
            <w:tcW w:type="dxa" w:w="1440"/>
          </w:tcPr>
          <w:p>
            <w:r/>
            <w:r>
              <w:t>0.81±0.08</w:t>
            </w:r>
          </w:p>
        </w:tc>
        <w:tc>
          <w:tcPr>
            <w:tcW w:type="dxa" w:w="1440"/>
          </w:tcPr>
          <w:p>
            <w:r/>
            <w:r>
              <w:t>0.26±0.25</w:t>
            </w:r>
          </w:p>
        </w:tc>
        <w:tc>
          <w:tcPr>
            <w:tcW w:type="dxa" w:w="1440"/>
          </w:tcPr>
          <w:p>
            <w:r/>
            <w:r>
              <w:t>+0.98</w:t>
            </w:r>
          </w:p>
        </w:tc>
        <w:tc>
          <w:tcPr>
            <w:tcW w:type="dxa" w:w="1440"/>
          </w:tcPr>
          <w:p>
            <w:r/>
            <w:r>
              <w:t>introducida, n bajo → Boyce artefactual</w:t>
            </w:r>
          </w:p>
        </w:tc>
      </w:tr>
    </w:tbl>
    <w:p>
      <w:r>
        <w:rPr>
          <w:b/>
        </w:rPr>
        <w:t>Media (por fold): AUC 0.77 · TSS 0.26 · Boyce 0.44.</w:t>
      </w:r>
    </w:p>
    <w:p>
      <w:r>
        <w:t>La SD entre folds es alta (a menudo &gt; el propio TSS): el modelo funciona en unas subregiones de Chile y no en otras. El pooled-OOF con umbral de entrenamiento da una cifra más alta (AUC 0.89 · TSS 0.50) pero el pooling mezcla regiones y sobrestima la transferencia; por eso el encabezado honesto es la cifra por fold.</w:t>
      </w:r>
    </w:p>
    <w:p>
      <w:pPr>
        <w:pStyle w:val="Heading2"/>
      </w:pPr>
      <w:r>
        <w:t>5. Por qué las métricas bajaron (y por qué eso es correcto)</w:t>
      </w:r>
    </w:p>
    <w:p>
      <w:r>
        <w:t>En la iteración 2 el background era planetario. Para una especie del desierto de Atacama, distinguir sus presencias de puntos en la selva amazónica o la tundra ártica es trivial: cualquier modelo aprende esa separación y reporta AUC ~0.99 sin esfuerzo. Ese número no decía nada sobre si el modelo captura el nicho real.</w:t>
      </w:r>
    </w:p>
    <w:p>
      <w:r>
        <w:t xml:space="preserve">Al acotar background y presencias a Chile, el modelo debe discriminar entre zonas de Chile con nicho apto y zonas de Chile sin él — una tarea ecológicamente relevante y mucho más difícil. Las métricas que bajan son, por tanto, </w:t>
      </w:r>
      <w:r>
        <w:rPr>
          <w:b/>
        </w:rPr>
        <w:t>métricas honestas</w:t>
      </w:r>
      <w:r>
        <w:t>.</w:t>
      </w:r>
    </w:p>
    <w:p>
      <w:r>
        <w:t>El Boyce (CBI) bajó de 0.68 a 0.42 en promedio. Eso también es información: contra background planetario, concentrar presencias en zonas de alta idoneidad era trivial; dentro de Chile se revela qué especies transfieren realmente su nicho.</w:t>
      </w:r>
    </w:p>
    <w:p>
      <w:pPr>
        <w:pStyle w:val="Heading2"/>
      </w:pPr>
      <w:r>
        <w:t>6. Lectura honesta de los resultados</w:t>
      </w:r>
    </w:p>
    <w:p>
      <w:r>
        <w:rPr>
          <w:b/>
        </w:rPr>
        <w:t>Especies sólidas dentro de Chile</w:t>
      </w:r>
      <w:r>
        <w:t xml:space="preserve"> (Boyce &gt;= 0.7):</w:t>
      </w:r>
    </w:p>
    <w:p>
      <w:pPr>
        <w:pStyle w:val="ListBullet"/>
      </w:pPr>
      <w:r>
        <w:rPr>
          <w:rFonts w:ascii="Consolas" w:hAnsi="Consolas"/>
          <w:sz w:val="19"/>
        </w:rPr>
        <w:t>krameria_cistoidea</w:t>
      </w:r>
      <w:r>
        <w:t xml:space="preserve"> (Boyce 0.89), </w:t>
      </w:r>
      <w:r>
        <w:rPr>
          <w:rFonts w:ascii="Consolas" w:hAnsi="Consolas"/>
          <w:sz w:val="19"/>
        </w:rPr>
        <w:t>skytanthus_acutus</w:t>
      </w:r>
      <w:r>
        <w:t xml:space="preserve"> (0.79),</w:t>
      </w:r>
    </w:p>
    <w:p>
      <w:r>
        <w:rPr>
          <w:rFonts w:ascii="Consolas" w:hAnsi="Consolas"/>
          <w:sz w:val="19"/>
        </w:rPr>
        <w:t>nolana_sedifolia</w:t>
      </w:r>
      <w:r>
        <w:t xml:space="preserve"> (0.79), </w:t>
      </w:r>
      <w:r>
        <w:rPr>
          <w:rFonts w:ascii="Consolas" w:hAnsi="Consolas"/>
          <w:sz w:val="19"/>
        </w:rPr>
        <w:t>nolana_divaricata</w:t>
      </w:r>
      <w:r>
        <w:t xml:space="preserve"> (0.77). Sus mapas son confiables.</w:t>
      </w:r>
    </w:p>
    <w:p>
      <w:r>
        <w:rPr>
          <w:b/>
        </w:rPr>
        <w:t>Especies buenas</w:t>
      </w:r>
      <w:r>
        <w:t xml:space="preserve"> (Boyce 0.35–0.65):</w:t>
      </w:r>
    </w:p>
    <w:p>
      <w:pPr>
        <w:pStyle w:val="ListBullet"/>
      </w:pPr>
      <w:r>
        <w:rPr>
          <w:rFonts w:ascii="Consolas" w:hAnsi="Consolas"/>
          <w:sz w:val="19"/>
        </w:rPr>
        <w:t>eulychnia_acida</w:t>
      </w:r>
      <w:r>
        <w:t xml:space="preserve"> (0.59), </w:t>
      </w:r>
      <w:r>
        <w:rPr>
          <w:rFonts w:ascii="Consolas" w:hAnsi="Consolas"/>
          <w:sz w:val="19"/>
        </w:rPr>
        <w:t>oxalis_gigantea</w:t>
      </w:r>
      <w:r>
        <w:t xml:space="preserve"> (0.59), </w:t>
      </w:r>
      <w:r>
        <w:rPr>
          <w:rFonts w:ascii="Consolas" w:hAnsi="Consolas"/>
          <w:sz w:val="19"/>
        </w:rPr>
        <w:t>miqueliopuntia_miquelii</w:t>
      </w:r>
    </w:p>
    <w:p>
      <w:r>
        <w:t xml:space="preserve">(0.49), </w:t>
      </w:r>
      <w:r>
        <w:rPr>
          <w:rFonts w:ascii="Consolas" w:hAnsi="Consolas"/>
          <w:sz w:val="19"/>
        </w:rPr>
        <w:t>encelia_canescens</w:t>
      </w:r>
      <w:r>
        <w:t xml:space="preserve"> (0.36). Resultados razonables, usar con precaución.</w:t>
      </w:r>
    </w:p>
    <w:p>
      <w:r>
        <w:rPr>
          <w:b/>
        </w:rPr>
        <w:t>Especies expuestas como débiles</w:t>
      </w:r>
      <w:r>
        <w:t xml:space="preserve"> (Boyce bajo/negativo, antes oculto por inflado):</w:t>
      </w:r>
    </w:p>
    <w:p>
      <w:pPr>
        <w:pStyle w:val="ListBullet"/>
      </w:pPr>
      <w:r>
        <w:rPr>
          <w:rFonts w:ascii="Consolas" w:hAnsi="Consolas"/>
          <w:sz w:val="19"/>
        </w:rPr>
        <w:t>cumulopuntia_sphaerica</w:t>
      </w:r>
      <w:r>
        <w:t xml:space="preserve"> (Boyce 0.15), </w:t>
      </w:r>
      <w:r>
        <w:rPr>
          <w:rFonts w:ascii="Consolas" w:hAnsi="Consolas"/>
          <w:sz w:val="19"/>
        </w:rPr>
        <w:t>neltuma_chilensis</w:t>
      </w:r>
      <w:r>
        <w:t xml:space="preserve"> (0.19):</w:t>
      </w:r>
    </w:p>
    <w:p>
      <w:r>
        <w:t>el modelo discrimina en CV pero no transfiere bien. Mapa no confiable.</w:t>
      </w:r>
    </w:p>
    <w:p>
      <w:pPr>
        <w:pStyle w:val="ListBullet"/>
      </w:pPr>
      <w:r>
        <w:rPr>
          <w:rFonts w:ascii="Consolas" w:hAnsi="Consolas"/>
          <w:sz w:val="19"/>
        </w:rPr>
        <w:t>pleurophora_pungens</w:t>
      </w:r>
      <w:r>
        <w:t xml:space="preserve"> (Boyce −0.23): zonas predichas como aptas no concentran</w:t>
      </w:r>
    </w:p>
    <w:p>
      <w:r>
        <w:t>presencias reales. Mapa no confiable.</w:t>
      </w:r>
    </w:p>
    <w:p>
      <w:pPr>
        <w:pStyle w:val="ListBullet"/>
      </w:pPr>
      <w:r>
        <w:rPr>
          <w:rFonts w:ascii="Consolas" w:hAnsi="Consolas"/>
          <w:sz w:val="19"/>
        </w:rPr>
        <w:t>senna_cumingii</w:t>
      </w:r>
      <w:r>
        <w:t xml:space="preserve"> (Boyce −0.66): el peor caso de transferibilidad. Mapa descartable</w:t>
      </w:r>
    </w:p>
    <w:p>
      <w:r>
        <w:t>para toma de decisiones.</w:t>
      </w:r>
    </w:p>
    <w:p>
      <w:r>
        <w:rPr>
          <w:b/>
        </w:rPr>
        <w:t>Especies introducidas con marco roto por datos:</w:t>
      </w:r>
    </w:p>
    <w:p>
      <w:pPr>
        <w:pStyle w:val="ListBullet"/>
      </w:pPr>
      <w:r>
        <w:rPr>
          <w:rFonts w:ascii="Consolas" w:hAnsi="Consolas"/>
          <w:sz w:val="19"/>
        </w:rPr>
        <w:t>atriplex_semibaccata</w:t>
      </w:r>
      <w:r>
        <w:t xml:space="preserve"> (n=8 en Chile): por debajo del umbral mínimo de 50</w:t>
      </w:r>
    </w:p>
    <w:p>
      <w:r>
        <w:t xml:space="preserve">presencias. </w:t>
      </w:r>
      <w:r>
        <w:rPr>
          <w:b/>
        </w:rPr>
        <w:t>No debería modelarse</w:t>
      </w:r>
      <w:r>
        <w:t xml:space="preserve"> bajo este marco; necesita datos adicionales o un enfoque distinto.</w:t>
      </w:r>
    </w:p>
    <w:p>
      <w:pPr>
        <w:pStyle w:val="ListBullet"/>
      </w:pPr>
      <w:r>
        <w:rPr>
          <w:rFonts w:ascii="Consolas" w:hAnsi="Consolas"/>
          <w:sz w:val="19"/>
        </w:rPr>
        <w:t>schinus_areira</w:t>
      </w:r>
      <w:r>
        <w:t xml:space="preserve"> (n=72 en Chile): al acotar a Chile los registros GBIF globales</w:t>
      </w:r>
    </w:p>
    <w:p>
      <w:r>
        <w:t>quedan muy reducidos. Boyce 0.98 sugiere ajuste artefactual por n pequeño; resultados inestables. Requiere marco específico de especie introducida.</w:t>
      </w:r>
    </w:p>
    <w:p>
      <w:r>
        <w:rPr>
          <w:b/>
        </w:rPr>
        <w:t>SD entre folds alta</w:t>
      </w:r>
      <w:r>
        <w:t xml:space="preserve"> en endémicas de pocos registros: el modelo funciona mejor en unas subregiones que en otras. Interpretar el TSS medio con esa varianza en mente.</w:t>
      </w:r>
    </w:p>
    <w:p>
      <w:pPr>
        <w:pStyle w:val="Heading2"/>
      </w:pPr>
      <w:r>
        <w:t>7. Qué se cambió en esta iteración</w:t>
      </w:r>
    </w:p>
    <w:p>
      <w:pPr>
        <w:pStyle w:val="ListNumber"/>
      </w:pPr>
      <w:r>
        <w:rPr>
          <w:b/>
        </w:rPr>
        <w:t>Área de calibración</w:t>
      </w:r>
      <w:r>
        <w:t>: background y presencias acotados a Chile (polígono</w:t>
      </w:r>
    </w:p>
    <w:p>
      <w:r>
        <w:t xml:space="preserve">Natural Earth admin-0 intersección tierra; respaldo: bounding-box). Configurado en </w:t>
      </w:r>
      <w:r>
        <w:rPr>
          <w:rFonts w:ascii="Consolas" w:hAnsi="Consolas"/>
          <w:sz w:val="19"/>
        </w:rPr>
        <w:t>config.py</w:t>
      </w:r>
      <w:r>
        <w:t xml:space="preserve"> (</w:t>
      </w:r>
      <w:r>
        <w:rPr>
          <w:rFonts w:ascii="Consolas" w:hAnsi="Consolas"/>
          <w:sz w:val="19"/>
        </w:rPr>
        <w:t>CALIBRATION_COUNTRY</w:t>
      </w:r>
      <w:r>
        <w:t xml:space="preserve">, </w:t>
      </w:r>
      <w:r>
        <w:rPr>
          <w:rFonts w:ascii="Consolas" w:hAnsi="Consolas"/>
          <w:sz w:val="19"/>
        </w:rPr>
        <w:t>CALIBRATION_BBOX</w:t>
      </w:r>
      <w:r>
        <w:t xml:space="preserve">) y aplicado en </w:t>
      </w:r>
      <w:r>
        <w:rPr>
          <w:rFonts w:ascii="Consolas" w:hAnsi="Consolas"/>
          <w:sz w:val="19"/>
        </w:rPr>
        <w:t>04_extraccion.py</w:t>
      </w:r>
      <w:r>
        <w:t>.</w:t>
      </w:r>
    </w:p>
    <w:p>
      <w:pPr>
        <w:pStyle w:val="ListNumber"/>
      </w:pPr>
      <w:r>
        <w:rPr>
          <w:b/>
        </w:rPr>
        <w:t>Área de predicción y mapas</w:t>
      </w:r>
      <w:r>
        <w:t>: recortados a Sudamérica (</w:t>
      </w:r>
      <w:r>
        <w:rPr>
          <w:rFonts w:ascii="Consolas" w:hAnsi="Consolas"/>
          <w:sz w:val="19"/>
        </w:rPr>
        <w:t>PREDICTION_BBOX</w:t>
      </w:r>
      <w:r>
        <w:t xml:space="preserve"> en</w:t>
      </w:r>
    </w:p>
    <w:p>
      <w:r>
        <w:rPr>
          <w:rFonts w:ascii="Consolas" w:hAnsi="Consolas"/>
          <w:sz w:val="19"/>
        </w:rPr>
        <w:t>config.py</w:t>
      </w:r>
      <w:r>
        <w:t xml:space="preserve">; aplicado en </w:t>
      </w:r>
      <w:r>
        <w:rPr>
          <w:rFonts w:ascii="Consolas" w:hAnsi="Consolas"/>
          <w:sz w:val="19"/>
        </w:rPr>
        <w:t>07b</w:t>
      </w:r>
      <w:r>
        <w:t xml:space="preserve"> y </w:t>
      </w:r>
      <w:r>
        <w:rPr>
          <w:rFonts w:ascii="Consolas" w:hAnsi="Consolas"/>
          <w:sz w:val="19"/>
        </w:rPr>
        <w:t>build_predictor_stack</w:t>
      </w:r>
      <w:r>
        <w:t xml:space="preserve">; mapas en </w:t>
      </w:r>
      <w:r>
        <w:rPr>
          <w:rFonts w:ascii="Consolas" w:hAnsi="Consolas"/>
          <w:sz w:val="19"/>
        </w:rPr>
        <w:t>08</w:t>
      </w:r>
      <w:r>
        <w:t>).</w:t>
      </w:r>
    </w:p>
    <w:p>
      <w:pPr>
        <w:pStyle w:val="ListNumber"/>
      </w:pPr>
      <w:r>
        <w:rPr>
          <w:b/>
        </w:rPr>
        <w:t>El resto de la metodología no se tocó</w:t>
      </w:r>
      <w:r>
        <w:t>: CV adaptativo, umbral maxTSS sobre</w:t>
      </w:r>
    </w:p>
    <w:p>
      <w:r>
        <w:t>OOF, ensemble equal-weight, tuning de hiperparámetros, escalado dentro de fold, siguen exactamente igual que en la iteración 2.</w:t>
      </w:r>
    </w:p>
    <w:p>
      <w:pPr>
        <w:pStyle w:val="Heading2"/>
      </w:pPr>
      <w:r>
        <w:t>8. Comparación iteraciones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Métrica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Iter 2 (global)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Iter 3 (Chile, por fold)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Nota</w:t>
            </w:r>
          </w:p>
        </w:tc>
      </w:tr>
      <w:tr>
        <w:tc>
          <w:tcPr>
            <w:tcW w:type="dxa" w:w="2160"/>
          </w:tcPr>
          <w:p>
            <w:r/>
            <w:r>
              <w:t>AUC medio</w:t>
            </w:r>
          </w:p>
        </w:tc>
        <w:tc>
          <w:tcPr>
            <w:tcW w:type="dxa" w:w="2160"/>
          </w:tcPr>
          <w:p>
            <w:r/>
            <w:r>
              <w:t>0.944</w:t>
            </w:r>
          </w:p>
        </w:tc>
        <w:tc>
          <w:tcPr>
            <w:tcW w:type="dxa" w:w="2160"/>
          </w:tcPr>
          <w:p>
            <w:r/>
            <w:r>
              <w:t>0.77</w:t>
            </w:r>
          </w:p>
        </w:tc>
        <w:tc>
          <w:tcPr>
            <w:tcW w:type="dxa" w:w="2160"/>
          </w:tcPr>
          <w:p>
            <w:r/>
            <w:r>
              <w:t>doble corrección: alcance regional + reporte por fold</w:t>
            </w:r>
          </w:p>
        </w:tc>
      </w:tr>
      <w:tr>
        <w:tc>
          <w:tcPr>
            <w:tcW w:type="dxa" w:w="2160"/>
          </w:tcPr>
          <w:p>
            <w:r/>
            <w:r>
              <w:t>TSS medio</w:t>
            </w:r>
          </w:p>
        </w:tc>
        <w:tc>
          <w:tcPr>
            <w:tcW w:type="dxa" w:w="2160"/>
          </w:tcPr>
          <w:p>
            <w:r/>
            <w:r>
              <w:t>0.822</w:t>
            </w:r>
          </w:p>
        </w:tc>
        <w:tc>
          <w:tcPr>
            <w:tcW w:type="dxa" w:w="2160"/>
          </w:tcPr>
          <w:p>
            <w:r/>
            <w:r>
              <w:t>0.26</w:t>
            </w:r>
          </w:p>
        </w:tc>
        <w:tc>
          <w:tcPr>
            <w:tcW w:type="dxa" w:w="2160"/>
          </w:tcPr>
          <w:p>
            <w:r/>
            <w:r>
              <w:t>el TSS 0.71 que se reportaba antes usaba umbral optimizado sobre OOF (inflado)</w:t>
            </w:r>
          </w:p>
        </w:tc>
      </w:tr>
      <w:tr>
        <w:tc>
          <w:tcPr>
            <w:tcW w:type="dxa" w:w="2160"/>
          </w:tcPr>
          <w:p>
            <w:r/>
            <w:r>
              <w:t>Boyce medio</w:t>
            </w:r>
          </w:p>
        </w:tc>
        <w:tc>
          <w:tcPr>
            <w:tcW w:type="dxa" w:w="2160"/>
          </w:tcPr>
          <w:p>
            <w:r/>
            <w:r>
              <w:t>0.68</w:t>
            </w:r>
          </w:p>
        </w:tc>
        <w:tc>
          <w:tcPr>
            <w:tcW w:type="dxa" w:w="2160"/>
          </w:tcPr>
          <w:p>
            <w:r/>
            <w:r>
              <w:t>0.44</w:t>
            </w:r>
          </w:p>
        </w:tc>
        <w:tc>
          <w:tcPr>
            <w:tcW w:type="dxa" w:w="2160"/>
          </w:tcPr>
          <w:p>
            <w:r/>
            <w:r>
              <w:t>métrica solo-presencia, la más exigente</w:t>
            </w:r>
          </w:p>
        </w:tc>
      </w:tr>
    </w:tbl>
    <w:p>
      <w:r>
        <w:t>La caída de iter 2 a iter 3 tiene dos causas: (a) acotar el background a Chile elimina el contraste trivial "Chile vs. planeta"; (b) reportar por fold y sin trucar el umbral expone la transferencia espacial real. Ambas son honestidad, no regresión.</w:t>
      </w:r>
    </w:p>
    <w:p>
      <w:pPr>
        <w:pStyle w:val="Heading2"/>
      </w:pPr>
      <w:r>
        <w:t>9. Limitaciones y siguientes pasos</w:t>
      </w:r>
    </w:p>
    <w:p>
      <w:pPr>
        <w:pStyle w:val="ListBullet"/>
      </w:pPr>
      <w:r>
        <w:rPr>
          <w:b/>
        </w:rPr>
        <w:t>Forecast 2050 (CMIP6)</w:t>
      </w:r>
      <w:r>
        <w:t xml:space="preserve">: los rasters </w:t>
      </w:r>
      <w:r>
        <w:rPr>
          <w:b/>
        </w:rPr>
        <w:t>están calculados</w:t>
      </w:r>
      <w:r>
        <w:t xml:space="preserve"> (en</w:t>
      </w:r>
    </w:p>
    <w:p>
      <w:r>
        <w:rPr>
          <w:rFonts w:ascii="Consolas" w:hAnsi="Consolas"/>
          <w:sz w:val="19"/>
        </w:rPr>
        <w:t>outputs/maps/_forecast_deferred/</w:t>
      </w:r>
      <w:r>
        <w:t xml:space="preserve">) pero </w:t>
      </w:r>
      <w:r>
        <w:rPr>
          <w:b/>
        </w:rPr>
        <w:t>no certificados</w:t>
      </w:r>
      <w:r>
        <w:t xml:space="preserve"> — falta el MESS de proyección Chile→Sudamérica y la validación por hindcasting. No presentar proyecciones de cambio climático hasta cerrar eso.</w:t>
      </w:r>
    </w:p>
    <w:p>
      <w:pPr>
        <w:pStyle w:val="ListBullet"/>
      </w:pPr>
      <w:r>
        <w:rPr>
          <w:b/>
        </w:rPr>
        <w:t>Probabilidades mal calibradas:</w:t>
      </w:r>
      <w:r>
        <w:t xml:space="preserve"> </w:t>
      </w:r>
      <w:r>
        <w:rPr>
          <w:rFonts w:ascii="Consolas" w:hAnsi="Consolas"/>
          <w:sz w:val="19"/>
        </w:rPr>
        <w:t>calib_slope</w:t>
      </w:r>
      <w:r>
        <w:t xml:space="preserve"> ≈ 0 en casi todas las especies. Las</w:t>
      </w:r>
    </w:p>
    <w:p>
      <w:r>
        <w:t xml:space="preserve">salidas son índices de </w:t>
      </w:r>
      <w:r>
        <w:rPr>
          <w:b/>
        </w:rPr>
        <w:t>idoneidad relativa</w:t>
      </w:r>
      <w:r>
        <w:t>, no probabilidades; el Brier bajo (~0.04) es artefacto de la baja prevalencia, no señal de buena calibración.</w:t>
      </w:r>
    </w:p>
    <w:p>
      <w:pPr>
        <w:pStyle w:val="ListBullet"/>
      </w:pPr>
      <w:r>
        <w:rPr>
          <w:b/>
        </w:rPr>
        <w:t>Ensemble ≈ MaxEnt:</w:t>
      </w:r>
      <w:r>
        <w:t xml:space="preserve"> con métricas por fold, MaxEnt solo iguala o supera al ensemble</w:t>
      </w:r>
    </w:p>
    <w:p>
      <w:r>
        <w:t>en TSS (0.34 vs 0.26). El ensemble aporta robustez, no un salto de desempeño.</w:t>
      </w:r>
    </w:p>
    <w:p>
      <w:pPr>
        <w:pStyle w:val="ListBullet"/>
      </w:pPr>
      <w:r>
        <w:t>Sin validación por hindcasting (transferencia temporal).</w:t>
      </w:r>
    </w:p>
    <w:p>
      <w:pPr>
        <w:pStyle w:val="ListBullet"/>
      </w:pPr>
      <w:r>
        <w:rPr>
          <w:b/>
        </w:rPr>
        <w:t>Baja transferibilidad revelada</w:t>
      </w:r>
      <w:r>
        <w:t>: acotar a Chile expuso que cumulopuntia,</w:t>
      </w:r>
    </w:p>
    <w:p>
      <w:r>
        <w:t>neltuma, pleurophora y senna tienen Boyce bajo/negativo. Sus mapas requieren interpretación muy cautelosa.</w:t>
      </w:r>
    </w:p>
    <w:p>
      <w:pPr>
        <w:pStyle w:val="ListBullet"/>
      </w:pPr>
      <w:r>
        <w:rPr>
          <w:b/>
        </w:rPr>
        <w:t>Umbral maxTSS-sobre-OOF y CV adaptativo</w:t>
      </w:r>
      <w:r>
        <w:t>: pendientes de refinamiento; no</w:t>
      </w:r>
    </w:p>
    <w:p>
      <w:r>
        <w:t>modificados en esta iteración.</w:t>
      </w:r>
    </w:p>
    <w:p>
      <w:pPr>
        <w:pStyle w:val="ListBullet"/>
      </w:pPr>
      <w:r>
        <w:rPr>
          <w:b/>
        </w:rPr>
        <w:t>Especies introducidas con n insuficiente</w:t>
      </w:r>
      <w:r>
        <w:t xml:space="preserve"> (atriplex n=8, schinus n=72 al</w:t>
      </w:r>
    </w:p>
    <w:p>
      <w:r>
        <w:t>acotar a Chile): requieren un marco aparte — más registros nacionales, enfoque de invasibilidad, o exclusión del análisis comparativo.</w:t>
      </w:r>
    </w:p>
    <w:p>
      <w:pPr>
        <w:pStyle w:val="ListBullet"/>
      </w:pPr>
      <w:r>
        <w:t>El sampler de background podría mejorarse con un target-group correcto (mismo</w:t>
      </w:r>
    </w:p>
    <w:p>
      <w:r>
        <w:t>sesgo de muestreo que las presencias).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