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Resultados — Iteración 1</w:t>
      </w:r>
    </w:p>
    <w:p>
      <w:pPr>
        <w:pStyle w:val="IntenseQuote"/>
      </w:pPr>
      <w:r>
        <w:rPr>
          <w:b/>
        </w:rPr>
        <w:t>NOTA: documento superado por la iteración 2.</w:t>
      </w:r>
      <w:r>
        <w:t xml:space="preserve"> Esta iteración 1 tenía tres</w:t>
      </w:r>
    </w:p>
    <w:p>
      <w:pPr>
        <w:pStyle w:val="IntenseQuote"/>
      </w:pPr>
      <w:r>
        <w:t>fallos corregidos después: pendiente (</w:t>
      </w:r>
      <w:r>
        <w:rPr>
          <w:rFonts w:ascii="Consolas" w:hAnsi="Consolas"/>
          <w:sz w:val="19"/>
        </w:rPr>
        <w:t>slope</w:t>
      </w:r>
      <w:r>
        <w:t>) errónea (~90° en casi todo el</w:t>
      </w:r>
    </w:p>
    <w:p>
      <w:pPr>
        <w:pStyle w:val="IntenseQuote"/>
      </w:pPr>
      <w:r>
        <w:t>planeta), ~45% del background en zonas polares, y CV espacial degenerado para</w:t>
      </w:r>
    </w:p>
    <w:p>
      <w:pPr>
        <w:pStyle w:val="IntenseQuote"/>
      </w:pPr>
      <w:r>
        <w:t>endémicas (métricas NaN). Los resultados vigentes están en</w:t>
      </w:r>
    </w:p>
    <w:p>
      <w:pPr>
        <w:pStyle w:val="IntenseQuote"/>
      </w:pPr>
      <w:r>
        <w:rPr>
          <w:rFonts w:ascii="Consolas" w:hAnsi="Consolas"/>
          <w:sz w:val="19"/>
        </w:rPr>
        <w:t>informe_modelo.md</w:t>
      </w:r>
      <w:r>
        <w:t>. Se conserva este archivo como registro.</w:t>
      </w:r>
    </w:p>
    <w:p>
      <w:r>
        <w:t>Síntesis de la primera iteración del pipeline SDM (</w:t>
      </w:r>
      <w:r>
        <w:rPr>
          <w:rFonts w:ascii="Consolas" w:hAnsi="Consolas"/>
          <w:sz w:val="19"/>
        </w:rPr>
        <w:t>global-flora-sdm</w:t>
      </w:r>
      <w:r>
        <w:t xml:space="preserve">): modelos ensemble entrenados, validación con CV espacial, e idoneidad del presente. El </w:t>
      </w:r>
      <w:r>
        <w:rPr>
          <w:b/>
        </w:rPr>
        <w:t>forecast a 2050 queda diferido</w:t>
      </w:r>
      <w:r>
        <w:t xml:space="preserve"> como mejora (ver §"Trabajo futuro").</w:t>
      </w:r>
    </w:p>
    <w:p>
      <w:pPr>
        <w:pStyle w:val="Heading2"/>
      </w:pPr>
      <w:r>
        <w:t>Datos</w:t>
      </w:r>
    </w:p>
    <w:p>
      <w:pPr>
        <w:pStyle w:val="ListBullet"/>
      </w:pPr>
      <w:r>
        <w:rPr>
          <w:b/>
        </w:rPr>
        <w:t>Ocurrencias GBIF:</w:t>
      </w:r>
      <w:r>
        <w:t xml:space="preserve"> 13.354 → </w:t>
      </w:r>
      <w:r>
        <w:rPr>
          <w:b/>
        </w:rPr>
        <w:t>4.566</w:t>
      </w:r>
      <w:r>
        <w:t xml:space="preserve"> tras limpieza (dedup, incertidumbre,</w:t>
      </w:r>
    </w:p>
    <w:p>
      <w:r>
        <w:t>máscara de océano, thinning espacial a 2.5′). 14 especies modelables (grupos A/B).</w:t>
      </w:r>
    </w:p>
    <w:p>
      <w:pPr>
        <w:pStyle w:val="ListBullet"/>
      </w:pPr>
      <w:r>
        <w:rPr>
          <w:b/>
        </w:rPr>
        <w:t>Predictoras:</w:t>
      </w:r>
      <w:r>
        <w:t xml:space="preserve"> 10 bioclim WorldClim v2.1 + 4 topográficas (elevación, pendiente,</w:t>
      </w:r>
    </w:p>
    <w:p>
      <w:r>
        <w:t>northness, eastness), alineadas a 2.5′ (~5 km) global.</w:t>
      </w:r>
    </w:p>
    <w:p>
      <w:pPr>
        <w:pStyle w:val="ListBullet"/>
      </w:pPr>
      <w:r>
        <w:rPr>
          <w:b/>
        </w:rPr>
        <w:t>Background:</w:t>
      </w:r>
      <w:r>
        <w:t xml:space="preserve"> 20.000 puntos (target-group). Selección de predictores por</w:t>
      </w:r>
    </w:p>
    <w:p>
      <w:r>
        <w:t>correlación (|r|&gt;0.7) + VIF (&gt;10). CV espacial en bloques de 750 km.</w:t>
      </w:r>
    </w:p>
    <w:p>
      <w:pPr>
        <w:pStyle w:val="Heading2"/>
      </w:pPr>
      <w:r>
        <w:t>Validación (CV espacial leave-one-block-out)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Especie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Presencias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TSS (media±sd)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AUC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Boyce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Veredicto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Miqueliopuntia miquelii</w:t>
            </w:r>
          </w:p>
        </w:tc>
        <w:tc>
          <w:tcPr>
            <w:tcW w:type="dxa" w:w="1440"/>
          </w:tcPr>
          <w:p>
            <w:r/>
            <w:r>
              <w:t>129</w:t>
            </w:r>
          </w:p>
        </w:tc>
        <w:tc>
          <w:tcPr>
            <w:tcW w:type="dxa" w:w="1440"/>
          </w:tcPr>
          <w:p>
            <w:r/>
            <w:r>
              <w:t>0.86 ± 0.14</w:t>
            </w:r>
          </w:p>
        </w:tc>
        <w:tc>
          <w:tcPr>
            <w:tcW w:type="dxa" w:w="1440"/>
          </w:tcPr>
          <w:p>
            <w:r/>
            <w:r>
              <w:t>0.99</w:t>
            </w:r>
          </w:p>
        </w:tc>
        <w:tc>
          <w:tcPr>
            <w:tcW w:type="dxa" w:w="1440"/>
          </w:tcPr>
          <w:p>
            <w:r/>
            <w:r>
              <w:t>0.68</w:t>
            </w:r>
          </w:p>
        </w:tc>
        <w:tc>
          <w:tcPr>
            <w:tcW w:type="dxa" w:w="1440"/>
          </w:tcPr>
          <w:p>
            <w:r/>
            <w:r>
              <w:t>sólido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Schinus areira</w:t>
            </w:r>
          </w:p>
        </w:tc>
        <w:tc>
          <w:tcPr>
            <w:tcW w:type="dxa" w:w="1440"/>
          </w:tcPr>
          <w:p>
            <w:r/>
            <w:r>
              <w:t>1309</w:t>
            </w:r>
          </w:p>
        </w:tc>
        <w:tc>
          <w:tcPr>
            <w:tcW w:type="dxa" w:w="1440"/>
          </w:tcPr>
          <w:p>
            <w:r/>
            <w:r>
              <w:t>0.74 ± 0.26</w:t>
            </w:r>
          </w:p>
        </w:tc>
        <w:tc>
          <w:tcPr>
            <w:tcW w:type="dxa" w:w="1440"/>
          </w:tcPr>
          <w:p>
            <w:r/>
            <w:r>
              <w:t>0.98</w:t>
            </w:r>
          </w:p>
        </w:tc>
        <w:tc>
          <w:tcPr>
            <w:tcW w:type="dxa" w:w="1440"/>
          </w:tcPr>
          <w:p>
            <w:r/>
            <w:r>
              <w:t>0.98</w:t>
            </w:r>
          </w:p>
        </w:tc>
        <w:tc>
          <w:tcPr>
            <w:tcW w:type="dxa" w:w="1440"/>
          </w:tcPr>
          <w:p>
            <w:r/>
            <w:r>
              <w:t>sólido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Encelia canescens</w:t>
            </w:r>
          </w:p>
        </w:tc>
        <w:tc>
          <w:tcPr>
            <w:tcW w:type="dxa" w:w="1440"/>
          </w:tcPr>
          <w:p>
            <w:r/>
            <w:r>
              <w:t>271</w:t>
            </w:r>
          </w:p>
        </w:tc>
        <w:tc>
          <w:tcPr>
            <w:tcW w:type="dxa" w:w="1440"/>
          </w:tcPr>
          <w:p>
            <w:r/>
            <w:r>
              <w:t>0.72 ± 0.34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0.85</w:t>
            </w:r>
          </w:p>
        </w:tc>
        <w:tc>
          <w:tcPr>
            <w:tcW w:type="dxa" w:w="1440"/>
          </w:tcPr>
          <w:p>
            <w:r/>
            <w:r>
              <w:t>sólido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Atriplex semibaccata</w:t>
            </w:r>
          </w:p>
        </w:tc>
        <w:tc>
          <w:tcPr>
            <w:tcW w:type="dxa" w:w="1440"/>
          </w:tcPr>
          <w:p>
            <w:r/>
            <w:r>
              <w:t>1054</w:t>
            </w:r>
          </w:p>
        </w:tc>
        <w:tc>
          <w:tcPr>
            <w:tcW w:type="dxa" w:w="1440"/>
          </w:tcPr>
          <w:p>
            <w:r/>
            <w:r>
              <w:t>0.71 ± 0.11</w:t>
            </w:r>
          </w:p>
        </w:tc>
        <w:tc>
          <w:tcPr>
            <w:tcW w:type="dxa" w:w="1440"/>
          </w:tcPr>
          <w:p>
            <w:r/>
            <w:r>
              <w:t>0.98</w:t>
            </w:r>
          </w:p>
        </w:tc>
        <w:tc>
          <w:tcPr>
            <w:tcW w:type="dxa" w:w="1440"/>
          </w:tcPr>
          <w:p>
            <w:r/>
            <w:r>
              <w:t>0.79</w:t>
            </w:r>
          </w:p>
        </w:tc>
        <w:tc>
          <w:tcPr>
            <w:tcW w:type="dxa" w:w="1440"/>
          </w:tcPr>
          <w:p>
            <w:r/>
            <w:r>
              <w:t>sólido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Oxalis gigantea</w:t>
            </w:r>
          </w:p>
        </w:tc>
        <w:tc>
          <w:tcPr>
            <w:tcW w:type="dxa" w:w="1440"/>
          </w:tcPr>
          <w:p>
            <w:r/>
            <w:r>
              <w:t>68</w:t>
            </w:r>
          </w:p>
        </w:tc>
        <w:tc>
          <w:tcPr>
            <w:tcW w:type="dxa" w:w="1440"/>
          </w:tcPr>
          <w:p>
            <w:r/>
            <w:r>
              <w:t>0.54 ± 0.10</w:t>
            </w:r>
          </w:p>
        </w:tc>
        <w:tc>
          <w:tcPr>
            <w:tcW w:type="dxa" w:w="1440"/>
          </w:tcPr>
          <w:p>
            <w:r/>
            <w:r>
              <w:t>0.97</w:t>
            </w:r>
          </w:p>
        </w:tc>
        <w:tc>
          <w:tcPr>
            <w:tcW w:type="dxa" w:w="1440"/>
          </w:tcPr>
          <w:p>
            <w:r/>
            <w:r>
              <w:t>0.78</w:t>
            </w:r>
          </w:p>
        </w:tc>
        <w:tc>
          <w:tcPr>
            <w:tcW w:type="dxa" w:w="1440"/>
          </w:tcPr>
          <w:p>
            <w:r/>
            <w:r>
              <w:t>bueno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Nolana sedifolia</w:t>
            </w:r>
          </w:p>
        </w:tc>
        <w:tc>
          <w:tcPr>
            <w:tcW w:type="dxa" w:w="1440"/>
          </w:tcPr>
          <w:p>
            <w:r/>
            <w:r>
              <w:t>37</w:t>
            </w:r>
          </w:p>
        </w:tc>
        <w:tc>
          <w:tcPr>
            <w:tcW w:type="dxa" w:w="1440"/>
          </w:tcPr>
          <w:p>
            <w:r/>
            <w:r>
              <w:t>0.53 ± 0.47</w:t>
            </w:r>
          </w:p>
        </w:tc>
        <w:tc>
          <w:tcPr>
            <w:tcW w:type="dxa" w:w="1440"/>
          </w:tcPr>
          <w:p>
            <w:r/>
            <w:r>
              <w:t>0.92</w:t>
            </w:r>
          </w:p>
        </w:tc>
        <w:tc>
          <w:tcPr>
            <w:tcW w:type="dxa" w:w="1440"/>
          </w:tcPr>
          <w:p>
            <w:r/>
            <w:r>
              <w:t>0.08</w:t>
            </w:r>
          </w:p>
        </w:tc>
        <w:tc>
          <w:tcPr>
            <w:tcW w:type="dxa" w:w="1440"/>
          </w:tcPr>
          <w:p>
            <w:r/>
            <w:r>
              <w:t>variable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Cumulopuntia sphaerica</w:t>
            </w:r>
          </w:p>
        </w:tc>
        <w:tc>
          <w:tcPr>
            <w:tcW w:type="dxa" w:w="1440"/>
          </w:tcPr>
          <w:p>
            <w:r/>
            <w:r>
              <w:t>135</w:t>
            </w:r>
          </w:p>
        </w:tc>
        <w:tc>
          <w:tcPr>
            <w:tcW w:type="dxa" w:w="1440"/>
          </w:tcPr>
          <w:p>
            <w:r/>
            <w:r>
              <w:t>0.46 ± 0.44</w:t>
            </w:r>
          </w:p>
        </w:tc>
        <w:tc>
          <w:tcPr>
            <w:tcW w:type="dxa" w:w="1440"/>
          </w:tcPr>
          <w:p>
            <w:r/>
            <w:r>
              <w:t>0.86</w:t>
            </w:r>
          </w:p>
        </w:tc>
        <w:tc>
          <w:tcPr>
            <w:tcW w:type="dxa" w:w="1440"/>
          </w:tcPr>
          <w:p>
            <w:r/>
            <w:r>
              <w:t>0.93</w:t>
            </w:r>
          </w:p>
        </w:tc>
        <w:tc>
          <w:tcPr>
            <w:tcW w:type="dxa" w:w="1440"/>
          </w:tcPr>
          <w:p>
            <w:r/>
            <w:r>
              <w:t>variable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Senna cumingii</w:t>
            </w:r>
          </w:p>
        </w:tc>
        <w:tc>
          <w:tcPr>
            <w:tcW w:type="dxa" w:w="1440"/>
          </w:tcPr>
          <w:p>
            <w:r/>
            <w:r>
              <w:t>92</w:t>
            </w:r>
          </w:p>
        </w:tc>
        <w:tc>
          <w:tcPr>
            <w:tcW w:type="dxa" w:w="1440"/>
          </w:tcPr>
          <w:p>
            <w:r/>
            <w:r>
              <w:t>0.44 ± 0.30</w:t>
            </w:r>
          </w:p>
        </w:tc>
        <w:tc>
          <w:tcPr>
            <w:tcW w:type="dxa" w:w="1440"/>
          </w:tcPr>
          <w:p>
            <w:r/>
            <w:r>
              <w:t>0.98</w:t>
            </w:r>
          </w:p>
        </w:tc>
        <w:tc>
          <w:tcPr>
            <w:tcW w:type="dxa" w:w="1440"/>
          </w:tcPr>
          <w:p>
            <w:r/>
            <w:r>
              <w:t>0.32</w:t>
            </w:r>
          </w:p>
        </w:tc>
        <w:tc>
          <w:tcPr>
            <w:tcW w:type="dxa" w:w="1440"/>
          </w:tcPr>
          <w:p>
            <w:r/>
            <w:r>
              <w:t>moderado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Nolana divaricata</w:t>
            </w:r>
          </w:p>
        </w:tc>
        <w:tc>
          <w:tcPr>
            <w:tcW w:type="dxa" w:w="1440"/>
          </w:tcPr>
          <w:p>
            <w:r/>
            <w:r>
              <w:t>45</w:t>
            </w:r>
          </w:p>
        </w:tc>
        <w:tc>
          <w:tcPr>
            <w:tcW w:type="dxa" w:w="1440"/>
          </w:tcPr>
          <w:p>
            <w:r/>
            <w:r>
              <w:t>0.38 ± 0.12</w:t>
            </w:r>
          </w:p>
        </w:tc>
        <w:tc>
          <w:tcPr>
            <w:tcW w:type="dxa" w:w="1440"/>
          </w:tcPr>
          <w:p>
            <w:r/>
            <w:r>
              <w:t>1.00</w:t>
            </w:r>
          </w:p>
        </w:tc>
        <w:tc>
          <w:tcPr>
            <w:tcW w:type="dxa" w:w="1440"/>
          </w:tcPr>
          <w:p>
            <w:r/>
            <w:r>
              <w:t>0.57</w:t>
            </w:r>
          </w:p>
        </w:tc>
        <w:tc>
          <w:tcPr>
            <w:tcW w:type="dxa" w:w="1440"/>
          </w:tcPr>
          <w:p>
            <w:r/>
            <w:r>
              <w:t>moderado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Pleurophora pungens</w:t>
            </w:r>
          </w:p>
        </w:tc>
        <w:tc>
          <w:tcPr>
            <w:tcW w:type="dxa" w:w="1440"/>
          </w:tcPr>
          <w:p>
            <w:r/>
            <w:r>
              <w:t>56</w:t>
            </w:r>
          </w:p>
        </w:tc>
        <w:tc>
          <w:tcPr>
            <w:tcW w:type="dxa" w:w="1440"/>
          </w:tcPr>
          <w:p>
            <w:r/>
            <w:r>
              <w:t>0.33 ± 0.07</w:t>
            </w:r>
          </w:p>
        </w:tc>
        <w:tc>
          <w:tcPr>
            <w:tcW w:type="dxa" w:w="1440"/>
          </w:tcPr>
          <w:p>
            <w:r/>
            <w:r>
              <w:t>0.84</w:t>
            </w:r>
          </w:p>
        </w:tc>
        <w:tc>
          <w:tcPr>
            <w:tcW w:type="dxa" w:w="1440"/>
          </w:tcPr>
          <w:p>
            <w:r/>
            <w:r>
              <w:t>0.77</w:t>
            </w:r>
          </w:p>
        </w:tc>
        <w:tc>
          <w:tcPr>
            <w:tcW w:type="dxa" w:w="1440"/>
          </w:tcPr>
          <w:p>
            <w:r/>
            <w:r>
              <w:t>moderado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Neltuma chilensis</w:t>
            </w:r>
          </w:p>
        </w:tc>
        <w:tc>
          <w:tcPr>
            <w:tcW w:type="dxa" w:w="1440"/>
          </w:tcPr>
          <w:p>
            <w:r/>
            <w:r>
              <w:t>184</w:t>
            </w:r>
          </w:p>
        </w:tc>
        <w:tc>
          <w:tcPr>
            <w:tcW w:type="dxa" w:w="1440"/>
          </w:tcPr>
          <w:p>
            <w:r/>
            <w:r>
              <w:t>0.08 ± 0.06</w:t>
            </w:r>
          </w:p>
        </w:tc>
        <w:tc>
          <w:tcPr>
            <w:tcW w:type="dxa" w:w="1440"/>
          </w:tcPr>
          <w:p>
            <w:r/>
            <w:r>
              <w:t>0.91</w:t>
            </w:r>
          </w:p>
        </w:tc>
        <w:tc>
          <w:tcPr>
            <w:tcW w:type="dxa" w:w="1440"/>
          </w:tcPr>
          <w:p>
            <w:r/>
            <w:r>
              <w:t>0.43</w:t>
            </w:r>
          </w:p>
        </w:tc>
        <w:tc>
          <w:tcPr>
            <w:tcW w:type="dxa" w:w="1440"/>
          </w:tcPr>
          <w:p>
            <w:r/>
            <w:r>
              <w:t>débil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Krameria cistoidea</w:t>
            </w:r>
          </w:p>
        </w:tc>
        <w:tc>
          <w:tcPr>
            <w:tcW w:type="dxa" w:w="1440"/>
          </w:tcPr>
          <w:p>
            <w:r/>
            <w:r>
              <w:t>223</w:t>
            </w:r>
          </w:p>
        </w:tc>
        <w:tc>
          <w:tcPr>
            <w:tcW w:type="dxa" w:w="1440"/>
          </w:tcPr>
          <w:p>
            <w:r/>
            <w:r>
              <w:t>≈ 0.00</w:t>
            </w:r>
          </w:p>
        </w:tc>
        <w:tc>
          <w:tcPr>
            <w:tcW w:type="dxa" w:w="1440"/>
          </w:tcPr>
          <w:p>
            <w:r/>
            <w:r>
              <w:t>0.75</w:t>
            </w:r>
          </w:p>
        </w:tc>
        <w:tc>
          <w:tcPr>
            <w:tcW w:type="dxa" w:w="1440"/>
          </w:tcPr>
          <w:p>
            <w:r/>
            <w:r>
              <w:t>−0.75</w:t>
            </w:r>
          </w:p>
        </w:tc>
        <w:tc>
          <w:tcPr>
            <w:tcW w:type="dxa" w:w="1440"/>
          </w:tcPr>
          <w:p>
            <w:r/>
            <w:r>
              <w:t>degenerado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Eulychnia acida</w:t>
            </w:r>
          </w:p>
        </w:tc>
        <w:tc>
          <w:tcPr>
            <w:tcW w:type="dxa" w:w="1440"/>
          </w:tcPr>
          <w:p>
            <w:r/>
            <w:r>
              <w:t>150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0.07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degenerado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/>
              </w:rPr>
              <w:t>Skytanthus acutus</w:t>
            </w:r>
          </w:p>
        </w:tc>
        <w:tc>
          <w:tcPr>
            <w:tcW w:type="dxa" w:w="1440"/>
          </w:tcPr>
          <w:p>
            <w:r/>
            <w:r>
              <w:t>84</w:t>
            </w:r>
          </w:p>
        </w:tc>
        <w:tc>
          <w:tcPr>
            <w:tcW w:type="dxa" w:w="1440"/>
          </w:tcPr>
          <w:p>
            <w:r/>
            <w:r>
              <w:t>0.00</w:t>
            </w:r>
          </w:p>
        </w:tc>
        <w:tc>
          <w:tcPr>
            <w:tcW w:type="dxa" w:w="1440"/>
          </w:tcPr>
          <w:p>
            <w:r/>
            <w:r>
              <w:t>0.54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degenerado</w:t>
            </w:r>
          </w:p>
        </w:tc>
      </w:tr>
    </w:tbl>
    <w:p>
      <w:r>
        <w:t xml:space="preserve">Tabla completa (TSS/AUC/AUC-PR/F1/Brier/Boyce/OR10/MESS por algoritmo y ensemble): </w:t>
      </w:r>
      <w:r>
        <w:rPr>
          <w:rFonts w:ascii="Consolas" w:hAnsi="Consolas"/>
          <w:sz w:val="19"/>
        </w:rPr>
        <w:t>outputs/tables/metrics_all.csv</w:t>
      </w:r>
      <w:r>
        <w:t>.</w:t>
      </w:r>
    </w:p>
    <w:p>
      <w:pPr>
        <w:pStyle w:val="Heading2"/>
      </w:pPr>
      <w:r>
        <w:t>Lectura de los resultados</w:t>
      </w:r>
    </w:p>
    <w:p>
      <w:pPr>
        <w:pStyle w:val="ListBullet"/>
      </w:pPr>
      <w:r>
        <w:rPr>
          <w:b/>
        </w:rPr>
        <w:t>10 especies con modelos de moderados a sólidos</w:t>
      </w:r>
      <w:r>
        <w:t>, aptas para inferir idoneidad.</w:t>
      </w:r>
    </w:p>
    <w:p>
      <w:pPr>
        <w:pStyle w:val="ListBullet"/>
      </w:pPr>
      <w:r>
        <w:rPr>
          <w:b/>
        </w:rPr>
        <w:t>3-4 endémicas degeneradas</w:t>
      </w:r>
      <w:r>
        <w:t xml:space="preserve"> (</w:t>
      </w:r>
      <w:r>
        <w:rPr>
          <w:i/>
        </w:rPr>
        <w:t>Krameria, Eulychnia, Skytanthus</w:t>
      </w:r>
      <w:r>
        <w:t>): **no por falta</w:t>
      </w:r>
    </w:p>
    <w:p>
      <w:r>
        <w:t>de datos</w:t>
      </w:r>
      <w:r>
        <w:rPr>
          <w:b/>
        </w:rPr>
        <w:t xml:space="preserve"> (tienen 84-223 presencias) sino por la </w:t>
      </w:r>
      <w:r>
        <w:t xml:space="preserve">geometría del CV espacial** — sus presencias caen en 1-2 bloques de 750 km, y el leave-one-block-out deja fuera todo su rango, colapsando el TSS. Es la tensión esperada entre CV espacial honesto y endémicas de rango estrecho (ver </w:t>
      </w:r>
      <w:r>
        <w:rPr>
          <w:rFonts w:ascii="Consolas" w:hAnsi="Consolas"/>
          <w:sz w:val="19"/>
        </w:rPr>
        <w:t>docs/proyecto_sdm.md</w:t>
      </w:r>
      <w:r>
        <w:t>, nota 7).</w:t>
      </w:r>
    </w:p>
    <w:p>
      <w:pPr>
        <w:pStyle w:val="ListBullet"/>
      </w:pPr>
      <w:r>
        <w:rPr>
          <w:b/>
        </w:rPr>
        <w:t>SD alta entre folds</w:t>
      </w:r>
      <w:r>
        <w:t xml:space="preserve"> (p. ej. </w:t>
      </w:r>
      <w:r>
        <w:rPr>
          <w:i/>
        </w:rPr>
        <w:t>Nolana sedifolia</w:t>
      </w:r>
      <w:r>
        <w:t xml:space="preserve"> 0.53±0.47) = mala transferencia</w:t>
      </w:r>
    </w:p>
    <w:p>
      <w:r>
        <w:t>entre regiones; coherente con la naturaleza endémica.</w:t>
      </w:r>
    </w:p>
    <w:p>
      <w:pPr>
        <w:pStyle w:val="Heading2"/>
      </w:pPr>
      <w:r>
        <w:t>Salidas de la iteración</w:t>
      </w:r>
    </w:p>
    <w:p>
      <w:pPr>
        <w:pStyle w:val="ListBullet"/>
      </w:pPr>
      <w:r>
        <w:rPr>
          <w:rFonts w:ascii="Consolas" w:hAnsi="Consolas"/>
          <w:sz w:val="19"/>
        </w:rPr>
        <w:t>outputs/maps/{slug}_present_suitability.tif</w:t>
      </w:r>
      <w:r>
        <w:t xml:space="preserve"> — idoneidad del presente (0–1), 14 sp.</w:t>
      </w:r>
    </w:p>
    <w:p>
      <w:pPr>
        <w:pStyle w:val="ListBullet"/>
      </w:pPr>
      <w:r>
        <w:rPr>
          <w:rFonts w:ascii="Consolas" w:hAnsi="Consolas"/>
          <w:sz w:val="19"/>
        </w:rPr>
        <w:t>outputs/figures/{slug}_present.png</w:t>
      </w:r>
      <w:r>
        <w:t xml:space="preserve"> — mapas con overlay de ocurrencias (Etapa 8).</w:t>
      </w:r>
    </w:p>
    <w:p>
      <w:pPr>
        <w:pStyle w:val="ListBullet"/>
      </w:pPr>
      <w:r>
        <w:rPr>
          <w:rFonts w:ascii="Consolas" w:hAnsi="Consolas"/>
          <w:sz w:val="19"/>
        </w:rPr>
        <w:t>outputs/tables/metrics_*.csv</w:t>
      </w:r>
      <w:r>
        <w:t xml:space="preserve"> — métricas de validación.</w:t>
      </w:r>
    </w:p>
    <w:p>
      <w:pPr>
        <w:pStyle w:val="ListBullet"/>
      </w:pPr>
      <w:r>
        <w:rPr>
          <w:rFonts w:ascii="Consolas" w:hAnsi="Consolas"/>
          <w:sz w:val="19"/>
        </w:rPr>
        <w:t>data/modeling/ensemble_models/{slug}.joblib</w:t>
      </w:r>
      <w:r>
        <w:t xml:space="preserve"> — modelos ensemble reutilizables.</w:t>
      </w:r>
    </w:p>
    <w:p>
      <w:pPr>
        <w:pStyle w:val="Heading2"/>
      </w:pPr>
      <w:r>
        <w:t>Trabajo futuro (prioridad)</w:t>
      </w:r>
    </w:p>
    <w:p>
      <w:pPr>
        <w:pStyle w:val="ListNumber"/>
      </w:pPr>
      <w:r>
        <w:rPr>
          <w:b/>
        </w:rPr>
        <w:t>Bloque CV adaptativo por especie</w:t>
      </w:r>
      <w:r>
        <w:t xml:space="preserve"> (~250-350 km para endémicas de rango estrecho)</w:t>
      </w:r>
    </w:p>
    <w:p>
      <w:r>
        <w:t>→ reparte presencias en ≥3 folds y rescata los modelos degenerados sin más datos.</w:t>
      </w:r>
    </w:p>
    <w:p>
      <w:pPr>
        <w:pStyle w:val="ListNumber"/>
      </w:pPr>
      <w:r>
        <w:rPr>
          <w:b/>
        </w:rPr>
        <w:t>Forecast 2050 (diferido).</w:t>
      </w:r>
      <w:r>
        <w:t xml:space="preserve"> Implementado en </w:t>
      </w:r>
      <w:r>
        <w:rPr>
          <w:rFonts w:ascii="Consolas" w:hAnsi="Consolas"/>
          <w:sz w:val="19"/>
        </w:rPr>
        <w:t>07_forecast_2050.py</w:t>
      </w:r>
      <w:r>
        <w:t>: descarga y</w:t>
      </w:r>
    </w:p>
    <w:p>
      <w:r>
        <w:t xml:space="preserve">proyecta las 8 capas CMIP6 (ACCESS-CM2/IPSL/MPI/MRI × ssp245/ssp585). Pendiente: optimizar el </w:t>
      </w:r>
      <w:r>
        <w:rPr>
          <w:b/>
        </w:rPr>
        <w:t>MESS global</w:t>
      </w:r>
      <w:r>
        <w:t xml:space="preserve"> (cuello de botella; ya vectorizado con </w:t>
      </w:r>
      <w:r>
        <w:rPr>
          <w:rFonts w:ascii="Consolas" w:hAnsi="Consolas"/>
          <w:sz w:val="19"/>
        </w:rPr>
        <w:t>searchsorted</w:t>
      </w:r>
      <w:r>
        <w:t>, falta procesarlo por bloques/submuestreo para que escale a 37M píxeles).</w:t>
      </w:r>
    </w:p>
    <w:p>
      <w:pPr>
        <w:pStyle w:val="ListNumber"/>
      </w:pPr>
      <w:r>
        <w:rPr>
          <w:b/>
        </w:rPr>
        <w:t>Relleno de borde costero</w:t>
      </w:r>
      <w:r>
        <w:t xml:space="preserve"> en terreno (rellenar NaN de tierra con 0 antes de</w:t>
      </w:r>
    </w:p>
    <w:p>
      <w:r>
        <w:t xml:space="preserve">enmascarar) para recuperar presencias costeras (p. ej. </w:t>
      </w:r>
      <w:r>
        <w:rPr>
          <w:i/>
        </w:rPr>
        <w:t>N. sedifolia</w:t>
      </w:r>
      <w:r>
        <w:t xml:space="preserve"> 77→37).</w:t>
      </w:r>
    </w:p>
    <w:p>
      <w:pPr>
        <w:pStyle w:val="ListNumber"/>
      </w:pPr>
      <w:r>
        <w:rPr>
          <w:b/>
        </w:rPr>
        <w:t>Modelo regional</w:t>
      </w:r>
      <w:r>
        <w:t xml:space="preserve"> para las endémicas chilenas; </w:t>
      </w:r>
      <w:r>
        <w:rPr>
          <w:b/>
        </w:rPr>
        <w:t>pooling</w:t>
      </w:r>
      <w:r>
        <w:t xml:space="preserve"> de congéneres </w:t>
      </w:r>
      <w:r>
        <w:rPr>
          <w:i/>
        </w:rPr>
        <w:t>Nolana</w:t>
      </w:r>
      <w:r>
        <w:t>.</w:t>
      </w:r>
    </w:p>
    <w:p>
      <w:pPr>
        <w:pStyle w:val="ListNumber"/>
      </w:pPr>
      <w:r>
        <w:t>Re-descarga GBIF particionada para las especies truncadas en 3.000 registros.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