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Mapas de distribución de plantas — Versión 4</w:t>
      </w:r>
    </w:p>
    <w:p>
      <w:pPr>
        <w:jc w:val="center"/>
      </w:pPr>
      <w:r>
        <w:rPr>
          <w:i/>
          <w:sz w:val="24"/>
        </w:rPr>
        <w:t>Dónde pueden vivir 16 especies de flora chilena, según el clima y el terreno</w:t>
      </w:r>
    </w:p>
    <w:p>
      <w:pPr>
        <w:pStyle w:val="Heading1"/>
      </w:pPr>
      <w:r>
        <w:t>Qué hicimos</w:t>
      </w:r>
    </w:p>
    <w:p>
      <w:r>
        <w:t>Tomamos los registros de dónde se ha visto cada planta y los cruzamos con el clima y el terreno de Sudamérica. Con eso el modelo aprende qué condiciones le gustan a cada especie y dibuja un mapa que muestra, zona por zona, qué tan buena es para ella. Usamos cinco métodos a la vez y los combinamos, para no depender de uno solo.</w:t>
      </w:r>
    </w:p>
    <w:p>
      <w:pPr>
        <w:pStyle w:val="Heading1"/>
      </w:pPr>
      <w:r>
        <w:t>El cambio que mejoró el modelo</w:t>
      </w:r>
    </w:p>
    <w:p>
      <w:r>
        <w:t>La versión anterior tenía un problema simple: comparaba a cada planta contra un fondo que no calzaba con dónde vive de verdad. Lo arreglamos haciendo que cada especie se compare contra su propia zona, un radio de unos 300 km alrededor de los lugares donde se la ha encontrado. Fue un ajuste chico, pero los resultados mejoraron en todo.</w:t>
      </w:r>
    </w:p>
    <w:p>
      <w:r>
        <w:t>Así se ven los números, antes y después (promedio de las 16 especies):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Medida</w:t>
            </w:r>
          </w:p>
        </w:tc>
        <w:tc>
          <w:tcPr>
            <w:tcW w:type="dxa" w:w="2880"/>
          </w:tcPr>
          <w:p>
            <w:r>
              <w:rPr>
                <w:b/>
              </w:rPr>
              <w:t>Antes (V3)</w:t>
            </w:r>
          </w:p>
        </w:tc>
        <w:tc>
          <w:tcPr>
            <w:tcW w:type="dxa" w:w="2880"/>
          </w:tcPr>
          <w:p>
            <w:r>
              <w:rPr>
                <w:b/>
              </w:rPr>
              <w:t>Ahora (V4)</w:t>
            </w:r>
          </w:p>
        </w:tc>
      </w:tr>
      <w:tr>
        <w:tc>
          <w:tcPr>
            <w:tcW w:type="dxa" w:w="2880"/>
          </w:tcPr>
          <w:p>
            <w:r>
              <w:t>AUC (qué tan bien separa)</w:t>
            </w:r>
          </w:p>
        </w:tc>
        <w:tc>
          <w:tcPr>
            <w:tcW w:type="dxa" w:w="2880"/>
          </w:tcPr>
          <w:p>
            <w:r>
              <w:t>0.77</w:t>
            </w:r>
          </w:p>
        </w:tc>
        <w:tc>
          <w:tcPr>
            <w:tcW w:type="dxa" w:w="2880"/>
          </w:tcPr>
          <w:p>
            <w:r>
              <w:t>0.83</w:t>
            </w:r>
          </w:p>
        </w:tc>
      </w:tr>
      <w:tr>
        <w:tc>
          <w:tcPr>
            <w:tcW w:type="dxa" w:w="2880"/>
          </w:tcPr>
          <w:p>
            <w:r>
              <w:t>TSS (aciertos vs errores)</w:t>
            </w:r>
          </w:p>
        </w:tc>
        <w:tc>
          <w:tcPr>
            <w:tcW w:type="dxa" w:w="2880"/>
          </w:tcPr>
          <w:p>
            <w:r>
              <w:t>0.26</w:t>
            </w:r>
          </w:p>
        </w:tc>
        <w:tc>
          <w:tcPr>
            <w:tcW w:type="dxa" w:w="2880"/>
          </w:tcPr>
          <w:p>
            <w:r>
              <w:t>0.47</w:t>
            </w:r>
          </w:p>
        </w:tc>
      </w:tr>
      <w:tr>
        <w:tc>
          <w:tcPr>
            <w:tcW w:type="dxa" w:w="2880"/>
          </w:tcPr>
          <w:p>
            <w:r>
              <w:t>Boyce (acierta dónde está la planta)</w:t>
            </w:r>
          </w:p>
        </w:tc>
        <w:tc>
          <w:tcPr>
            <w:tcW w:type="dxa" w:w="2880"/>
          </w:tcPr>
          <w:p>
            <w:r>
              <w:t>0.44</w:t>
            </w:r>
          </w:p>
        </w:tc>
        <w:tc>
          <w:tcPr>
            <w:tcW w:type="dxa" w:w="2880"/>
          </w:tcPr>
          <w:p>
            <w:r>
              <w:t>0.86</w:t>
            </w:r>
          </w:p>
        </w:tc>
      </w:tr>
    </w:tbl>
    <w:p>
      <w:r>
        <w:t>El número que más importa acá es el Boyce: mide si el mapa marca alto justo donde la planta aparece de verdad. Pasó de 0.44 a 0.86. En 15 de las 16 especies el mapa quedó confiable. Es un salto grande y se nota en los mapas.</w:t>
      </w:r>
    </w:p>
    <w:p>
      <w:pPr>
        <w:pStyle w:val="Heading1"/>
      </w:pPr>
      <w:r>
        <w:t>El modelo que elegimos</w:t>
      </w:r>
    </w:p>
    <w:p>
      <w:r>
        <w:t>Comparamos juntar los cinco métodos (lo que llamamos ensemble) contra usar solo el más fuerte, MaxEnt. En puntería van casi iguales, pero el ensemble gana donde importa: da el mejor Boyce y es más estable, porque no queda colgado de un solo método. Por eso es el modelo que dejamos como oficial.</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Modelo</w:t>
            </w:r>
          </w:p>
        </w:tc>
        <w:tc>
          <w:tcPr>
            <w:tcW w:type="dxa" w:w="2160"/>
          </w:tcPr>
          <w:p>
            <w:r>
              <w:rPr>
                <w:b/>
              </w:rPr>
              <w:t>AUC</w:t>
            </w:r>
          </w:p>
        </w:tc>
        <w:tc>
          <w:tcPr>
            <w:tcW w:type="dxa" w:w="2160"/>
          </w:tcPr>
          <w:p>
            <w:r>
              <w:rPr>
                <w:b/>
              </w:rPr>
              <w:t>TSS</w:t>
            </w:r>
          </w:p>
        </w:tc>
        <w:tc>
          <w:tcPr>
            <w:tcW w:type="dxa" w:w="2160"/>
          </w:tcPr>
          <w:p>
            <w:r>
              <w:rPr>
                <w:b/>
              </w:rPr>
              <w:t>Boyce</w:t>
            </w:r>
          </w:p>
        </w:tc>
      </w:tr>
      <w:tr>
        <w:tc>
          <w:tcPr>
            <w:tcW w:type="dxa" w:w="2160"/>
          </w:tcPr>
          <w:p>
            <w:r>
              <w:t>Ensemble (el que usamos)</w:t>
            </w:r>
          </w:p>
        </w:tc>
        <w:tc>
          <w:tcPr>
            <w:tcW w:type="dxa" w:w="2160"/>
          </w:tcPr>
          <w:p>
            <w:r>
              <w:t>0.83</w:t>
            </w:r>
          </w:p>
        </w:tc>
        <w:tc>
          <w:tcPr>
            <w:tcW w:type="dxa" w:w="2160"/>
          </w:tcPr>
          <w:p>
            <w:r>
              <w:t>0.47</w:t>
            </w:r>
          </w:p>
        </w:tc>
        <w:tc>
          <w:tcPr>
            <w:tcW w:type="dxa" w:w="2160"/>
          </w:tcPr>
          <w:p>
            <w:r>
              <w:t>0.86</w:t>
            </w:r>
          </w:p>
        </w:tc>
      </w:tr>
      <w:tr>
        <w:tc>
          <w:tcPr>
            <w:tcW w:type="dxa" w:w="2160"/>
          </w:tcPr>
          <w:p>
            <w:r>
              <w:t>MaxEnt solo</w:t>
            </w:r>
          </w:p>
        </w:tc>
        <w:tc>
          <w:tcPr>
            <w:tcW w:type="dxa" w:w="2160"/>
          </w:tcPr>
          <w:p>
            <w:r>
              <w:t>0.82</w:t>
            </w:r>
          </w:p>
        </w:tc>
        <w:tc>
          <w:tcPr>
            <w:tcW w:type="dxa" w:w="2160"/>
          </w:tcPr>
          <w:p>
            <w:r>
              <w:t>0.48</w:t>
            </w:r>
          </w:p>
        </w:tc>
        <w:tc>
          <w:tcPr>
            <w:tcW w:type="dxa" w:w="2160"/>
          </w:tcPr>
          <w:p>
            <w:r>
              <w:t>—</w:t>
            </w:r>
          </w:p>
        </w:tc>
      </w:tr>
    </w:tbl>
    <w:p>
      <w:pPr>
        <w:pStyle w:val="Heading1"/>
      </w:pPr>
      <w:r>
        <w:t>Cómo le fue a cada especie</w:t>
      </w:r>
    </w:p>
    <w:p>
      <w:r>
        <w:t>Ordenadas de la que mejor quedó a la que peor. Casi todas andan bien; las mejores marcan justo la franja del norte chico donde crecen estas plantas.</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Especie</w:t>
            </w:r>
          </w:p>
        </w:tc>
        <w:tc>
          <w:tcPr>
            <w:tcW w:type="dxa" w:w="1440"/>
          </w:tcPr>
          <w:p>
            <w:r>
              <w:rPr>
                <w:b/>
              </w:rPr>
              <w:t>Registros</w:t>
            </w:r>
          </w:p>
        </w:tc>
        <w:tc>
          <w:tcPr>
            <w:tcW w:type="dxa" w:w="1440"/>
          </w:tcPr>
          <w:p>
            <w:r>
              <w:rPr>
                <w:b/>
              </w:rPr>
              <w:t>AUC</w:t>
            </w:r>
          </w:p>
        </w:tc>
        <w:tc>
          <w:tcPr>
            <w:tcW w:type="dxa" w:w="1440"/>
          </w:tcPr>
          <w:p>
            <w:r>
              <w:rPr>
                <w:b/>
              </w:rPr>
              <w:t>TSS</w:t>
            </w:r>
          </w:p>
        </w:tc>
        <w:tc>
          <w:tcPr>
            <w:tcW w:type="dxa" w:w="1440"/>
          </w:tcPr>
          <w:p>
            <w:r>
              <w:rPr>
                <w:b/>
              </w:rPr>
              <w:t>Boyce</w:t>
            </w:r>
          </w:p>
        </w:tc>
        <w:tc>
          <w:tcPr>
            <w:tcW w:type="dxa" w:w="1440"/>
          </w:tcPr>
          <w:p>
            <w:r>
              <w:rPr>
                <w:b/>
              </w:rPr>
              <w:t>Nivel</w:t>
            </w:r>
          </w:p>
        </w:tc>
      </w:tr>
      <w:tr>
        <w:tc>
          <w:tcPr>
            <w:tcW w:type="dxa" w:w="1440"/>
          </w:tcPr>
          <w:p>
            <w:r>
              <w:t>Krameria cistoidea</w:t>
            </w:r>
          </w:p>
        </w:tc>
        <w:tc>
          <w:tcPr>
            <w:tcW w:type="dxa" w:w="1440"/>
          </w:tcPr>
          <w:p>
            <w:r>
              <w:t>254</w:t>
            </w:r>
          </w:p>
        </w:tc>
        <w:tc>
          <w:tcPr>
            <w:tcW w:type="dxa" w:w="1440"/>
          </w:tcPr>
          <w:p>
            <w:r>
              <w:t>0.89</w:t>
            </w:r>
          </w:p>
        </w:tc>
        <w:tc>
          <w:tcPr>
            <w:tcW w:type="dxa" w:w="1440"/>
          </w:tcPr>
          <w:p>
            <w:r>
              <w:t>0.54</w:t>
            </w:r>
          </w:p>
        </w:tc>
        <w:tc>
          <w:tcPr>
            <w:tcW w:type="dxa" w:w="1440"/>
          </w:tcPr>
          <w:p>
            <w:r>
              <w:t>1.00</w:t>
            </w:r>
          </w:p>
        </w:tc>
        <w:tc>
          <w:tcPr>
            <w:tcW w:type="dxa" w:w="1440"/>
          </w:tcPr>
          <w:p>
            <w:r>
              <w:t>Excelente</w:t>
            </w:r>
          </w:p>
        </w:tc>
      </w:tr>
      <w:tr>
        <w:tc>
          <w:tcPr>
            <w:tcW w:type="dxa" w:w="1440"/>
          </w:tcPr>
          <w:p>
            <w:r>
              <w:t>Encelia canescens</w:t>
            </w:r>
          </w:p>
        </w:tc>
        <w:tc>
          <w:tcPr>
            <w:tcW w:type="dxa" w:w="1440"/>
          </w:tcPr>
          <w:p>
            <w:r>
              <w:t>387</w:t>
            </w:r>
          </w:p>
        </w:tc>
        <w:tc>
          <w:tcPr>
            <w:tcW w:type="dxa" w:w="1440"/>
          </w:tcPr>
          <w:p>
            <w:r>
              <w:t>0.93</w:t>
            </w:r>
          </w:p>
        </w:tc>
        <w:tc>
          <w:tcPr>
            <w:tcW w:type="dxa" w:w="1440"/>
          </w:tcPr>
          <w:p>
            <w:r>
              <w:t>0.62</w:t>
            </w:r>
          </w:p>
        </w:tc>
        <w:tc>
          <w:tcPr>
            <w:tcW w:type="dxa" w:w="1440"/>
          </w:tcPr>
          <w:p>
            <w:r>
              <w:t>0.99</w:t>
            </w:r>
          </w:p>
        </w:tc>
        <w:tc>
          <w:tcPr>
            <w:tcW w:type="dxa" w:w="1440"/>
          </w:tcPr>
          <w:p>
            <w:r>
              <w:t>Excelente</w:t>
            </w:r>
          </w:p>
        </w:tc>
      </w:tr>
      <w:tr>
        <w:tc>
          <w:tcPr>
            <w:tcW w:type="dxa" w:w="1440"/>
          </w:tcPr>
          <w:p>
            <w:r>
              <w:t>Schinus areira</w:t>
            </w:r>
          </w:p>
        </w:tc>
        <w:tc>
          <w:tcPr>
            <w:tcW w:type="dxa" w:w="1440"/>
          </w:tcPr>
          <w:p>
            <w:r>
              <w:t>323</w:t>
            </w:r>
          </w:p>
        </w:tc>
        <w:tc>
          <w:tcPr>
            <w:tcW w:type="dxa" w:w="1440"/>
          </w:tcPr>
          <w:p>
            <w:r>
              <w:t>0.75</w:t>
            </w:r>
          </w:p>
        </w:tc>
        <w:tc>
          <w:tcPr>
            <w:tcW w:type="dxa" w:w="1440"/>
          </w:tcPr>
          <w:p>
            <w:r>
              <w:t>0.22</w:t>
            </w:r>
          </w:p>
        </w:tc>
        <w:tc>
          <w:tcPr>
            <w:tcW w:type="dxa" w:w="1440"/>
          </w:tcPr>
          <w:p>
            <w:r>
              <w:t>0.99</w:t>
            </w:r>
          </w:p>
        </w:tc>
        <w:tc>
          <w:tcPr>
            <w:tcW w:type="dxa" w:w="1440"/>
          </w:tcPr>
          <w:p>
            <w:r>
              <w:t>Excelente</w:t>
            </w:r>
          </w:p>
        </w:tc>
      </w:tr>
      <w:tr>
        <w:tc>
          <w:tcPr>
            <w:tcW w:type="dxa" w:w="1440"/>
          </w:tcPr>
          <w:p>
            <w:r>
              <w:t>Oxalis gigantea</w:t>
            </w:r>
          </w:p>
        </w:tc>
        <w:tc>
          <w:tcPr>
            <w:tcW w:type="dxa" w:w="1440"/>
          </w:tcPr>
          <w:p>
            <w:r>
              <w:t>123</w:t>
            </w:r>
          </w:p>
        </w:tc>
        <w:tc>
          <w:tcPr>
            <w:tcW w:type="dxa" w:w="1440"/>
          </w:tcPr>
          <w:p>
            <w:r>
              <w:t>0.95</w:t>
            </w:r>
          </w:p>
        </w:tc>
        <w:tc>
          <w:tcPr>
            <w:tcW w:type="dxa" w:w="1440"/>
          </w:tcPr>
          <w:p>
            <w:r>
              <w:t>0.69</w:t>
            </w:r>
          </w:p>
        </w:tc>
        <w:tc>
          <w:tcPr>
            <w:tcW w:type="dxa" w:w="1440"/>
          </w:tcPr>
          <w:p>
            <w:r>
              <w:t>0.99</w:t>
            </w:r>
          </w:p>
        </w:tc>
        <w:tc>
          <w:tcPr>
            <w:tcW w:type="dxa" w:w="1440"/>
          </w:tcPr>
          <w:p>
            <w:r>
              <w:t>Excelente</w:t>
            </w:r>
          </w:p>
        </w:tc>
      </w:tr>
      <w:tr>
        <w:tc>
          <w:tcPr>
            <w:tcW w:type="dxa" w:w="1440"/>
          </w:tcPr>
          <w:p>
            <w:r>
              <w:t>Nolana divaricata</w:t>
            </w:r>
          </w:p>
        </w:tc>
        <w:tc>
          <w:tcPr>
            <w:tcW w:type="dxa" w:w="1440"/>
          </w:tcPr>
          <w:p>
            <w:r>
              <w:t>116</w:t>
            </w:r>
          </w:p>
        </w:tc>
        <w:tc>
          <w:tcPr>
            <w:tcW w:type="dxa" w:w="1440"/>
          </w:tcPr>
          <w:p>
            <w:r>
              <w:t>0.97</w:t>
            </w:r>
          </w:p>
        </w:tc>
        <w:tc>
          <w:tcPr>
            <w:tcW w:type="dxa" w:w="1440"/>
          </w:tcPr>
          <w:p>
            <w:r>
              <w:t>0.80</w:t>
            </w:r>
          </w:p>
        </w:tc>
        <w:tc>
          <w:tcPr>
            <w:tcW w:type="dxa" w:w="1440"/>
          </w:tcPr>
          <w:p>
            <w:r>
              <w:t>0.99</w:t>
            </w:r>
          </w:p>
        </w:tc>
        <w:tc>
          <w:tcPr>
            <w:tcW w:type="dxa" w:w="1440"/>
          </w:tcPr>
          <w:p>
            <w:r>
              <w:t>Excelente</w:t>
            </w:r>
          </w:p>
        </w:tc>
      </w:tr>
      <w:tr>
        <w:tc>
          <w:tcPr>
            <w:tcW w:type="dxa" w:w="1440"/>
          </w:tcPr>
          <w:p>
            <w:r>
              <w:t>Senna cumingii</w:t>
            </w:r>
          </w:p>
        </w:tc>
        <w:tc>
          <w:tcPr>
            <w:tcW w:type="dxa" w:w="1440"/>
          </w:tcPr>
          <w:p>
            <w:r>
              <w:t>138</w:t>
            </w:r>
          </w:p>
        </w:tc>
        <w:tc>
          <w:tcPr>
            <w:tcW w:type="dxa" w:w="1440"/>
          </w:tcPr>
          <w:p>
            <w:r>
              <w:t>0.91</w:t>
            </w:r>
          </w:p>
        </w:tc>
        <w:tc>
          <w:tcPr>
            <w:tcW w:type="dxa" w:w="1440"/>
          </w:tcPr>
          <w:p>
            <w:r>
              <w:t>0.60</w:t>
            </w:r>
          </w:p>
        </w:tc>
        <w:tc>
          <w:tcPr>
            <w:tcW w:type="dxa" w:w="1440"/>
          </w:tcPr>
          <w:p>
            <w:r>
              <w:t>0.98</w:t>
            </w:r>
          </w:p>
        </w:tc>
        <w:tc>
          <w:tcPr>
            <w:tcW w:type="dxa" w:w="1440"/>
          </w:tcPr>
          <w:p>
            <w:r>
              <w:t>Excelente</w:t>
            </w:r>
          </w:p>
        </w:tc>
      </w:tr>
      <w:tr>
        <w:tc>
          <w:tcPr>
            <w:tcW w:type="dxa" w:w="1440"/>
          </w:tcPr>
          <w:p>
            <w:r>
              <w:t>Cumulopuntia sphaerica</w:t>
            </w:r>
          </w:p>
        </w:tc>
        <w:tc>
          <w:tcPr>
            <w:tcW w:type="dxa" w:w="1440"/>
          </w:tcPr>
          <w:p>
            <w:r>
              <w:t>175</w:t>
            </w:r>
          </w:p>
        </w:tc>
        <w:tc>
          <w:tcPr>
            <w:tcW w:type="dxa" w:w="1440"/>
          </w:tcPr>
          <w:p>
            <w:r>
              <w:t>0.89</w:t>
            </w:r>
          </w:p>
        </w:tc>
        <w:tc>
          <w:tcPr>
            <w:tcW w:type="dxa" w:w="1440"/>
          </w:tcPr>
          <w:p>
            <w:r>
              <w:t>0.57</w:t>
            </w:r>
          </w:p>
        </w:tc>
        <w:tc>
          <w:tcPr>
            <w:tcW w:type="dxa" w:w="1440"/>
          </w:tcPr>
          <w:p>
            <w:r>
              <w:t>0.98</w:t>
            </w:r>
          </w:p>
        </w:tc>
        <w:tc>
          <w:tcPr>
            <w:tcW w:type="dxa" w:w="1440"/>
          </w:tcPr>
          <w:p>
            <w:r>
              <w:t>Excelente</w:t>
            </w:r>
          </w:p>
        </w:tc>
      </w:tr>
      <w:tr>
        <w:tc>
          <w:tcPr>
            <w:tcW w:type="dxa" w:w="1440"/>
          </w:tcPr>
          <w:p>
            <w:r>
              <w:t>Eulychnia acida</w:t>
            </w:r>
          </w:p>
        </w:tc>
        <w:tc>
          <w:tcPr>
            <w:tcW w:type="dxa" w:w="1440"/>
          </w:tcPr>
          <w:p>
            <w:r>
              <w:t>199</w:t>
            </w:r>
          </w:p>
        </w:tc>
        <w:tc>
          <w:tcPr>
            <w:tcW w:type="dxa" w:w="1440"/>
          </w:tcPr>
          <w:p>
            <w:r>
              <w:t>0.89</w:t>
            </w:r>
          </w:p>
        </w:tc>
        <w:tc>
          <w:tcPr>
            <w:tcW w:type="dxa" w:w="1440"/>
          </w:tcPr>
          <w:p>
            <w:r>
              <w:t>0.52</w:t>
            </w:r>
          </w:p>
        </w:tc>
        <w:tc>
          <w:tcPr>
            <w:tcW w:type="dxa" w:w="1440"/>
          </w:tcPr>
          <w:p>
            <w:r>
              <w:t>0.96</w:t>
            </w:r>
          </w:p>
        </w:tc>
        <w:tc>
          <w:tcPr>
            <w:tcW w:type="dxa" w:w="1440"/>
          </w:tcPr>
          <w:p>
            <w:r>
              <w:t>Excelente</w:t>
            </w:r>
          </w:p>
        </w:tc>
      </w:tr>
      <w:tr>
        <w:tc>
          <w:tcPr>
            <w:tcW w:type="dxa" w:w="1440"/>
          </w:tcPr>
          <w:p>
            <w:r>
              <w:t>Neltuma chilensis</w:t>
            </w:r>
          </w:p>
        </w:tc>
        <w:tc>
          <w:tcPr>
            <w:tcW w:type="dxa" w:w="1440"/>
          </w:tcPr>
          <w:p>
            <w:r>
              <w:t>304</w:t>
            </w:r>
          </w:p>
        </w:tc>
        <w:tc>
          <w:tcPr>
            <w:tcW w:type="dxa" w:w="1440"/>
          </w:tcPr>
          <w:p>
            <w:r>
              <w:t>0.69</w:t>
            </w:r>
          </w:p>
        </w:tc>
        <w:tc>
          <w:tcPr>
            <w:tcW w:type="dxa" w:w="1440"/>
          </w:tcPr>
          <w:p>
            <w:r>
              <w:t>0.19</w:t>
            </w:r>
          </w:p>
        </w:tc>
        <w:tc>
          <w:tcPr>
            <w:tcW w:type="dxa" w:w="1440"/>
          </w:tcPr>
          <w:p>
            <w:r>
              <w:t>0.92</w:t>
            </w:r>
          </w:p>
        </w:tc>
        <w:tc>
          <w:tcPr>
            <w:tcW w:type="dxa" w:w="1440"/>
          </w:tcPr>
          <w:p>
            <w:r>
              <w:t>Excelente</w:t>
            </w:r>
          </w:p>
        </w:tc>
      </w:tr>
      <w:tr>
        <w:tc>
          <w:tcPr>
            <w:tcW w:type="dxa" w:w="1440"/>
          </w:tcPr>
          <w:p>
            <w:r>
              <w:t>Skytanthus acutus</w:t>
            </w:r>
          </w:p>
        </w:tc>
        <w:tc>
          <w:tcPr>
            <w:tcW w:type="dxa" w:w="1440"/>
          </w:tcPr>
          <w:p>
            <w:r>
              <w:t>162</w:t>
            </w:r>
          </w:p>
        </w:tc>
        <w:tc>
          <w:tcPr>
            <w:tcW w:type="dxa" w:w="1440"/>
          </w:tcPr>
          <w:p>
            <w:r>
              <w:t>0.87</w:t>
            </w:r>
          </w:p>
        </w:tc>
        <w:tc>
          <w:tcPr>
            <w:tcW w:type="dxa" w:w="1440"/>
          </w:tcPr>
          <w:p>
            <w:r>
              <w:t>0.58</w:t>
            </w:r>
          </w:p>
        </w:tc>
        <w:tc>
          <w:tcPr>
            <w:tcW w:type="dxa" w:w="1440"/>
          </w:tcPr>
          <w:p>
            <w:r>
              <w:t>0.92</w:t>
            </w:r>
          </w:p>
        </w:tc>
        <w:tc>
          <w:tcPr>
            <w:tcW w:type="dxa" w:w="1440"/>
          </w:tcPr>
          <w:p>
            <w:r>
              <w:t>Excelente</w:t>
            </w:r>
          </w:p>
        </w:tc>
      </w:tr>
      <w:tr>
        <w:tc>
          <w:tcPr>
            <w:tcW w:type="dxa" w:w="1440"/>
          </w:tcPr>
          <w:p>
            <w:r>
              <w:t>Nolana sedifolia</w:t>
            </w:r>
          </w:p>
        </w:tc>
        <w:tc>
          <w:tcPr>
            <w:tcW w:type="dxa" w:w="1440"/>
          </w:tcPr>
          <w:p>
            <w:r>
              <w:t>122</w:t>
            </w:r>
          </w:p>
        </w:tc>
        <w:tc>
          <w:tcPr>
            <w:tcW w:type="dxa" w:w="1440"/>
          </w:tcPr>
          <w:p>
            <w:r>
              <w:t>0.78</w:t>
            </w:r>
          </w:p>
        </w:tc>
        <w:tc>
          <w:tcPr>
            <w:tcW w:type="dxa" w:w="1440"/>
          </w:tcPr>
          <w:p>
            <w:r>
              <w:t>0.56</w:t>
            </w:r>
          </w:p>
        </w:tc>
        <w:tc>
          <w:tcPr>
            <w:tcW w:type="dxa" w:w="1440"/>
          </w:tcPr>
          <w:p>
            <w:r>
              <w:t>0.92</w:t>
            </w:r>
          </w:p>
        </w:tc>
        <w:tc>
          <w:tcPr>
            <w:tcW w:type="dxa" w:w="1440"/>
          </w:tcPr>
          <w:p>
            <w:r>
              <w:t>Excelente</w:t>
            </w:r>
          </w:p>
        </w:tc>
      </w:tr>
      <w:tr>
        <w:tc>
          <w:tcPr>
            <w:tcW w:type="dxa" w:w="1440"/>
          </w:tcPr>
          <w:p>
            <w:r>
              <w:t>Pleurophora pungens</w:t>
            </w:r>
          </w:p>
        </w:tc>
        <w:tc>
          <w:tcPr>
            <w:tcW w:type="dxa" w:w="1440"/>
          </w:tcPr>
          <w:p>
            <w:r>
              <w:t>69</w:t>
            </w:r>
          </w:p>
        </w:tc>
        <w:tc>
          <w:tcPr>
            <w:tcW w:type="dxa" w:w="1440"/>
          </w:tcPr>
          <w:p>
            <w:r>
              <w:t>0.74</w:t>
            </w:r>
          </w:p>
        </w:tc>
        <w:tc>
          <w:tcPr>
            <w:tcW w:type="dxa" w:w="1440"/>
          </w:tcPr>
          <w:p>
            <w:r>
              <w:t>0.31</w:t>
            </w:r>
          </w:p>
        </w:tc>
        <w:tc>
          <w:tcPr>
            <w:tcW w:type="dxa" w:w="1440"/>
          </w:tcPr>
          <w:p>
            <w:r>
              <w:t>0.91</w:t>
            </w:r>
          </w:p>
        </w:tc>
        <w:tc>
          <w:tcPr>
            <w:tcW w:type="dxa" w:w="1440"/>
          </w:tcPr>
          <w:p>
            <w:r>
              <w:t>Excelente</w:t>
            </w:r>
          </w:p>
        </w:tc>
      </w:tr>
      <w:tr>
        <w:tc>
          <w:tcPr>
            <w:tcW w:type="dxa" w:w="1440"/>
          </w:tcPr>
          <w:p>
            <w:r>
              <w:t>Caesalpinia angulata</w:t>
            </w:r>
          </w:p>
        </w:tc>
        <w:tc>
          <w:tcPr>
            <w:tcW w:type="dxa" w:w="1440"/>
          </w:tcPr>
          <w:p>
            <w:r>
              <w:t>114</w:t>
            </w:r>
          </w:p>
        </w:tc>
        <w:tc>
          <w:tcPr>
            <w:tcW w:type="dxa" w:w="1440"/>
          </w:tcPr>
          <w:p>
            <w:r>
              <w:t>0.69</w:t>
            </w:r>
          </w:p>
        </w:tc>
        <w:tc>
          <w:tcPr>
            <w:tcW w:type="dxa" w:w="1440"/>
          </w:tcPr>
          <w:p>
            <w:r>
              <w:t>0.17</w:t>
            </w:r>
          </w:p>
        </w:tc>
        <w:tc>
          <w:tcPr>
            <w:tcW w:type="dxa" w:w="1440"/>
          </w:tcPr>
          <w:p>
            <w:r>
              <w:t>0.79</w:t>
            </w:r>
          </w:p>
        </w:tc>
        <w:tc>
          <w:tcPr>
            <w:tcW w:type="dxa" w:w="1440"/>
          </w:tcPr>
          <w:p>
            <w:r>
              <w:t>Confiable</w:t>
            </w:r>
          </w:p>
        </w:tc>
      </w:tr>
      <w:tr>
        <w:tc>
          <w:tcPr>
            <w:tcW w:type="dxa" w:w="1440"/>
          </w:tcPr>
          <w:p>
            <w:r>
              <w:t>Miqueliopuntia miquelii</w:t>
            </w:r>
          </w:p>
        </w:tc>
        <w:tc>
          <w:tcPr>
            <w:tcW w:type="dxa" w:w="1440"/>
          </w:tcPr>
          <w:p>
            <w:r>
              <w:t>153</w:t>
            </w:r>
          </w:p>
        </w:tc>
        <w:tc>
          <w:tcPr>
            <w:tcW w:type="dxa" w:w="1440"/>
          </w:tcPr>
          <w:p>
            <w:r>
              <w:t>0.87</w:t>
            </w:r>
          </w:p>
        </w:tc>
        <w:tc>
          <w:tcPr>
            <w:tcW w:type="dxa" w:w="1440"/>
          </w:tcPr>
          <w:p>
            <w:r>
              <w:t>0.45</w:t>
            </w:r>
          </w:p>
        </w:tc>
        <w:tc>
          <w:tcPr>
            <w:tcW w:type="dxa" w:w="1440"/>
          </w:tcPr>
          <w:p>
            <w:r>
              <w:t>0.77</w:t>
            </w:r>
          </w:p>
        </w:tc>
        <w:tc>
          <w:tcPr>
            <w:tcW w:type="dxa" w:w="1440"/>
          </w:tcPr>
          <w:p>
            <w:r>
              <w:t>Confiable</w:t>
            </w:r>
          </w:p>
        </w:tc>
      </w:tr>
      <w:tr>
        <w:tc>
          <w:tcPr>
            <w:tcW w:type="dxa" w:w="1440"/>
          </w:tcPr>
          <w:p>
            <w:r>
              <w:t>Centaurea chilensis</w:t>
            </w:r>
          </w:p>
        </w:tc>
        <w:tc>
          <w:tcPr>
            <w:tcW w:type="dxa" w:w="1440"/>
          </w:tcPr>
          <w:p>
            <w:r>
              <w:t>129</w:t>
            </w:r>
          </w:p>
        </w:tc>
        <w:tc>
          <w:tcPr>
            <w:tcW w:type="dxa" w:w="1440"/>
          </w:tcPr>
          <w:p>
            <w:r>
              <w:t>0.85</w:t>
            </w:r>
          </w:p>
        </w:tc>
        <w:tc>
          <w:tcPr>
            <w:tcW w:type="dxa" w:w="1440"/>
          </w:tcPr>
          <w:p>
            <w:r>
              <w:t>0.63</w:t>
            </w:r>
          </w:p>
        </w:tc>
        <w:tc>
          <w:tcPr>
            <w:tcW w:type="dxa" w:w="1440"/>
          </w:tcPr>
          <w:p>
            <w:r>
              <w:t>0.72</w:t>
            </w:r>
          </w:p>
        </w:tc>
        <w:tc>
          <w:tcPr>
            <w:tcW w:type="dxa" w:w="1440"/>
          </w:tcPr>
          <w:p>
            <w:r>
              <w:t>Confiable</w:t>
            </w:r>
          </w:p>
        </w:tc>
      </w:tr>
      <w:tr>
        <w:tc>
          <w:tcPr>
            <w:tcW w:type="dxa" w:w="1440"/>
          </w:tcPr>
          <w:p>
            <w:r>
              <w:t>Atriplex semibaccata</w:t>
            </w:r>
          </w:p>
        </w:tc>
        <w:tc>
          <w:tcPr>
            <w:tcW w:type="dxa" w:w="1440"/>
          </w:tcPr>
          <w:p>
            <w:r>
              <w:t>83</w:t>
            </w:r>
          </w:p>
        </w:tc>
        <w:tc>
          <w:tcPr>
            <w:tcW w:type="dxa" w:w="1440"/>
          </w:tcPr>
          <w:p>
            <w:r>
              <w:t>0.55</w:t>
            </w:r>
          </w:p>
        </w:tc>
        <w:tc>
          <w:tcPr>
            <w:tcW w:type="dxa" w:w="1440"/>
          </w:tcPr>
          <w:p>
            <w:r>
              <w:t>0.11</w:t>
            </w:r>
          </w:p>
        </w:tc>
        <w:tc>
          <w:tcPr>
            <w:tcW w:type="dxa" w:w="1440"/>
          </w:tcPr>
          <w:p>
            <w:r>
              <w:t>0.02</w:t>
            </w:r>
          </w:p>
        </w:tc>
        <w:tc>
          <w:tcPr>
            <w:tcW w:type="dxa" w:w="1440"/>
          </w:tcPr>
          <w:p>
            <w:r>
              <w:t>Revisar</w:t>
            </w:r>
          </w:p>
        </w:tc>
      </w:tr>
    </w:tbl>
    <w:p>
      <w:r>
        <w:t>La única que todavía no sirve es Atriplex semibaccata: es una especie introducida y con pocos datos, así que su mapa conviene tomarlo aparte y con pinzas.</w:t>
      </w:r>
    </w:p>
    <w:p>
      <w:pPr>
        <w:pStyle w:val="Heading1"/>
      </w:pPr>
      <w:r>
        <w:t>Los mapas</w:t>
      </w:r>
    </w:p>
    <w:p>
      <w:r>
        <w:t>Cada mapa pinta de oscuro a amarillo la idoneidad (de 0 a 1): mientras más amarillo, mejor zona para la planta. Los puntos rojos son los lugares donde se la ha visto.</w:t>
      </w:r>
    </w:p>
    <w:p>
      <w:r>
        <w:drawing>
          <wp:inline xmlns:a="http://schemas.openxmlformats.org/drawingml/2006/main" xmlns:pic="http://schemas.openxmlformats.org/drawingml/2006/picture">
            <wp:extent cx="5760720" cy="7200900"/>
            <wp:docPr id="1" name="Picture 1"/>
            <wp:cNvGraphicFramePr>
              <a:graphicFrameLocks noChangeAspect="1"/>
            </wp:cNvGraphicFramePr>
            <a:graphic>
              <a:graphicData uri="http://schemas.openxmlformats.org/drawingml/2006/picture">
                <pic:pic>
                  <pic:nvPicPr>
                    <pic:cNvPr id="0" name="_panel_idoneidad_v4.png"/>
                    <pic:cNvPicPr/>
                  </pic:nvPicPr>
                  <pic:blipFill>
                    <a:blip r:embed="rId9"/>
                    <a:stretch>
                      <a:fillRect/>
                    </a:stretch>
                  </pic:blipFill>
                  <pic:spPr>
                    <a:xfrm>
                      <a:off x="0" y="0"/>
                      <a:ext cx="5760720" cy="7200900"/>
                    </a:xfrm>
                    <a:prstGeom prst="rect"/>
                  </pic:spPr>
                </pic:pic>
              </a:graphicData>
            </a:graphic>
          </wp:inline>
        </w:drawing>
      </w:r>
    </w:p>
    <w:p>
      <w:pPr>
        <w:jc w:val="center"/>
      </w:pPr>
      <w:r>
        <w:rPr>
          <w:i/>
        </w:rPr>
        <w:t>Las 16 especies de un vistazo (ordenadas por Boyce).</w:t>
      </w:r>
    </w:p>
    <w:p>
      <w:r>
        <w:drawing>
          <wp:inline xmlns:a="http://schemas.openxmlformats.org/drawingml/2006/main" xmlns:pic="http://schemas.openxmlformats.org/drawingml/2006/picture">
            <wp:extent cx="4114800" cy="5043948"/>
            <wp:docPr id="2" name="Picture 2"/>
            <wp:cNvGraphicFramePr>
              <a:graphicFrameLocks noChangeAspect="1"/>
            </wp:cNvGraphicFramePr>
            <a:graphic>
              <a:graphicData uri="http://schemas.openxmlformats.org/drawingml/2006/picture">
                <pic:pic>
                  <pic:nvPicPr>
                    <pic:cNvPr id="0" name="nolana_divaricata_idoneidad_sa.png"/>
                    <pic:cNvPicPr/>
                  </pic:nvPicPr>
                  <pic:blipFill>
                    <a:blip r:embed="rId10"/>
                    <a:stretch>
                      <a:fillRect/>
                    </a:stretch>
                  </pic:blipFill>
                  <pic:spPr>
                    <a:xfrm>
                      <a:off x="0" y="0"/>
                      <a:ext cx="4114800" cy="5043948"/>
                    </a:xfrm>
                    <a:prstGeom prst="rect"/>
                  </pic:spPr>
                </pic:pic>
              </a:graphicData>
            </a:graphic>
          </wp:inline>
        </w:drawing>
      </w:r>
    </w:p>
    <w:p>
      <w:pPr>
        <w:jc w:val="center"/>
      </w:pPr>
      <w:r>
        <w:rPr>
          <w:i/>
        </w:rPr>
        <w:t>Nolana divaricata: uno de los mejores. El amarillo cae justo sobre los puntos rojos.</w:t>
      </w:r>
    </w:p>
    <w:p>
      <w:r>
        <w:drawing>
          <wp:inline xmlns:a="http://schemas.openxmlformats.org/drawingml/2006/main" xmlns:pic="http://schemas.openxmlformats.org/drawingml/2006/picture">
            <wp:extent cx="4114800" cy="5043948"/>
            <wp:docPr id="3" name="Picture 3"/>
            <wp:cNvGraphicFramePr>
              <a:graphicFrameLocks noChangeAspect="1"/>
            </wp:cNvGraphicFramePr>
            <a:graphic>
              <a:graphicData uri="http://schemas.openxmlformats.org/drawingml/2006/picture">
                <pic:pic>
                  <pic:nvPicPr>
                    <pic:cNvPr id="0" name="atriplex_semibaccata_idoneidad_sa.png"/>
                    <pic:cNvPicPr/>
                  </pic:nvPicPr>
                  <pic:blipFill>
                    <a:blip r:embed="rId11"/>
                    <a:stretch>
                      <a:fillRect/>
                    </a:stretch>
                  </pic:blipFill>
                  <pic:spPr>
                    <a:xfrm>
                      <a:off x="0" y="0"/>
                      <a:ext cx="4114800" cy="5043948"/>
                    </a:xfrm>
                    <a:prstGeom prst="rect"/>
                  </pic:spPr>
                </pic:pic>
              </a:graphicData>
            </a:graphic>
          </wp:inline>
        </w:drawing>
      </w:r>
    </w:p>
    <w:p>
      <w:pPr>
        <w:jc w:val="center"/>
      </w:pPr>
      <w:r>
        <w:rPr>
          <w:i/>
        </w:rPr>
        <w:t>Atriplex semibaccata: el caso flojo, mapa disperso y poco confiable.</w:t>
      </w:r>
    </w:p>
    <w:p>
      <w:pPr>
        <w:pStyle w:val="Heading1"/>
      </w:pPr>
      <w:r>
        <w:t>Cómo leer los mapas (en simple)</w:t>
      </w:r>
    </w:p>
    <w:p>
      <w:pPr>
        <w:pStyle w:val="ListBullet"/>
      </w:pPr>
      <w:r>
        <w:t>Los colores son idoneidad relativa, de 0 a 1: qué tan buena es la zona para la planta. No es una probabilidad exacta, es un “qué tan apta” comparado entre zonas.</w:t>
      </w:r>
    </w:p>
    <w:p>
      <w:pPr>
        <w:pStyle w:val="ListBullet"/>
      </w:pPr>
      <w:r>
        <w:t>Donde el clima se parece mucho al de los registros, el mapa es más seguro. En zonas con clima muy distinto conviene ir con más cautela.</w:t>
      </w:r>
    </w:p>
    <w:p>
      <w:pPr>
        <w:pStyle w:val="ListBullet"/>
      </w:pPr>
      <w:r>
        <w:t>El modelo casi no deja afuera lugares donde la planta sí está (algo bueno).</w:t>
      </w:r>
    </w:p>
    <w:p>
      <w:pPr>
        <w:pStyle w:val="Heading1"/>
      </w:pPr>
      <w:r>
        <w:t>En resumen</w:t>
      </w:r>
    </w:p>
    <w:p>
      <w:r>
        <w:rPr>
          <w:sz w:val="22"/>
        </w:rPr>
        <w:t>La Versión 4 es, por lejos, la mejor que tenemos. Un arreglo simple en cómo el modelo elige con qué comparar a cada planta subió todos los números y dejó 15 de 16 mapas listos para usar. Es una base sólida y confiable para seguir trabajando.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